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77341" w14:textId="77777777" w:rsidR="00F87FF5" w:rsidRPr="00F87FF5" w:rsidRDefault="00F87FF5" w:rsidP="00F87FF5"/>
    <w:p w14:paraId="785D4E31" w14:textId="77777777" w:rsidR="00F87FF5" w:rsidRPr="00F87FF5" w:rsidRDefault="00F87FF5" w:rsidP="00F87FF5"/>
    <w:p w14:paraId="2E8D95E1" w14:textId="77777777" w:rsidR="00F87FF5" w:rsidRPr="00F87FF5" w:rsidRDefault="00F87FF5" w:rsidP="00F87FF5"/>
    <w:p w14:paraId="08BB97C2" w14:textId="19807B9F" w:rsidR="001D60EC" w:rsidRPr="00F90ED5" w:rsidRDefault="00170FFD" w:rsidP="005F4C5F">
      <w:pPr>
        <w:pStyle w:val="VGBLAUERENGEL"/>
      </w:pPr>
      <w:r w:rsidRPr="00F90ED5">
        <w:t>An</w:t>
      </w:r>
      <w:r w:rsidR="00A74DB8">
        <w:t>nex</w:t>
      </w:r>
      <w:r w:rsidRPr="00F90ED5">
        <w:t xml:space="preserve"> </w:t>
      </w:r>
      <w:r w:rsidR="005E4132" w:rsidRPr="00F90ED5">
        <w:t>2</w:t>
      </w:r>
    </w:p>
    <w:p w14:paraId="1FB997BD" w14:textId="77777777" w:rsidR="005F4C5F" w:rsidRDefault="005F4C5F" w:rsidP="00FB60FE">
      <w:pPr>
        <w:pStyle w:val="VGTitel"/>
      </w:pPr>
    </w:p>
    <w:p w14:paraId="3B7A9B80" w14:textId="77777777" w:rsidR="00A74DB8" w:rsidRPr="007F75F6" w:rsidRDefault="00A74DB8" w:rsidP="00A74DB8">
      <w:pPr>
        <w:pStyle w:val="VGTitel"/>
        <w:rPr>
          <w:lang w:val="en-GB"/>
        </w:rPr>
      </w:pPr>
      <w:bookmarkStart w:id="0" w:name="_Ref8018527"/>
      <w:r w:rsidRPr="007F75F6">
        <w:rPr>
          <w:lang w:val="en-GB"/>
        </w:rPr>
        <w:t xml:space="preserve">Energy Efficiency Report </w:t>
      </w:r>
    </w:p>
    <w:p w14:paraId="69AC45E1" w14:textId="77777777" w:rsidR="00A74DB8" w:rsidRPr="007F75F6" w:rsidRDefault="00A74DB8" w:rsidP="00A74DB8">
      <w:pPr>
        <w:pStyle w:val="VGTitel"/>
        <w:rPr>
          <w:lang w:val="en-GB"/>
        </w:rPr>
      </w:pPr>
      <w:r w:rsidRPr="007F75F6">
        <w:rPr>
          <w:lang w:val="en-GB"/>
        </w:rPr>
        <w:t xml:space="preserve">to the Basic Award Criteria for </w:t>
      </w:r>
    </w:p>
    <w:p w14:paraId="7DFD776C" w14:textId="1101B46A" w:rsidR="00F11FB7" w:rsidRDefault="00A74DB8" w:rsidP="00A74DB8">
      <w:pPr>
        <w:pStyle w:val="VGTitel"/>
      </w:pPr>
      <w:r w:rsidRPr="007F75F6">
        <w:rPr>
          <w:lang w:val="en-GB"/>
        </w:rPr>
        <w:t xml:space="preserve">Data </w:t>
      </w:r>
      <w:proofErr w:type="spellStart"/>
      <w:r w:rsidRPr="007F75F6">
        <w:rPr>
          <w:lang w:val="en-GB"/>
        </w:rPr>
        <w:t>Centers</w:t>
      </w:r>
      <w:proofErr w:type="spellEnd"/>
    </w:p>
    <w:p w14:paraId="7FDB6783" w14:textId="77777777" w:rsidR="005F4C5F" w:rsidRPr="00F90ED5" w:rsidRDefault="005F4C5F" w:rsidP="005F4C5F">
      <w:pPr>
        <w:pStyle w:val="VGTitel"/>
      </w:pPr>
    </w:p>
    <w:p w14:paraId="1F1F0168" w14:textId="77777777" w:rsidR="00F11FB7" w:rsidRPr="001806FC" w:rsidRDefault="005F4C5F" w:rsidP="005F4C5F">
      <w:pPr>
        <w:pStyle w:val="VGNummer"/>
        <w:rPr>
          <w:sz w:val="24"/>
          <w:szCs w:val="24"/>
          <w:lang w:bidi="de-DE"/>
        </w:rPr>
      </w:pPr>
      <w:r w:rsidRPr="00F90ED5">
        <w:t>DE-UZ 228</w:t>
      </w:r>
    </w:p>
    <w:p w14:paraId="0385AD28" w14:textId="77777777" w:rsidR="00D628D8" w:rsidRDefault="00D628D8" w:rsidP="00C8726B">
      <w:pPr>
        <w:spacing w:line="280" w:lineRule="atLeast"/>
        <w:jc w:val="center"/>
        <w:rPr>
          <w:sz w:val="24"/>
          <w:szCs w:val="24"/>
          <w:lang w:bidi="de-DE"/>
        </w:rPr>
      </w:pPr>
    </w:p>
    <w:p w14:paraId="3A5077C0" w14:textId="77777777" w:rsidR="005F4C5F" w:rsidRDefault="005F4C5F" w:rsidP="00C8726B">
      <w:pPr>
        <w:spacing w:line="280" w:lineRule="atLeast"/>
        <w:jc w:val="center"/>
        <w:rPr>
          <w:sz w:val="24"/>
          <w:szCs w:val="24"/>
          <w:lang w:bidi="de-DE"/>
        </w:rPr>
      </w:pPr>
    </w:p>
    <w:p w14:paraId="3C0EDEA3" w14:textId="77777777" w:rsidR="005F4C5F" w:rsidRDefault="005F4C5F" w:rsidP="00C8726B">
      <w:pPr>
        <w:spacing w:line="280" w:lineRule="atLeast"/>
        <w:jc w:val="center"/>
        <w:rPr>
          <w:sz w:val="24"/>
          <w:szCs w:val="24"/>
          <w:lang w:bidi="de-DE"/>
        </w:rPr>
      </w:pPr>
    </w:p>
    <w:p w14:paraId="217FDD8C" w14:textId="77777777" w:rsidR="005F4C5F" w:rsidRDefault="005F4C5F" w:rsidP="00C8726B">
      <w:pPr>
        <w:spacing w:line="280" w:lineRule="atLeast"/>
        <w:jc w:val="center"/>
        <w:rPr>
          <w:sz w:val="24"/>
          <w:szCs w:val="24"/>
          <w:lang w:bidi="de-DE"/>
        </w:rPr>
      </w:pPr>
    </w:p>
    <w:p w14:paraId="4162FE87" w14:textId="77777777" w:rsidR="005F4C5F" w:rsidRDefault="005F4C5F" w:rsidP="00C8726B">
      <w:pPr>
        <w:spacing w:line="280" w:lineRule="atLeast"/>
        <w:jc w:val="center"/>
        <w:rPr>
          <w:sz w:val="24"/>
          <w:szCs w:val="24"/>
          <w:lang w:bidi="de-DE"/>
        </w:rPr>
      </w:pPr>
    </w:p>
    <w:p w14:paraId="0DCB6381" w14:textId="77777777" w:rsidR="005F4C5F" w:rsidRPr="001806FC" w:rsidRDefault="005F4C5F" w:rsidP="00C8726B">
      <w:pPr>
        <w:spacing w:line="280" w:lineRule="atLeast"/>
        <w:jc w:val="center"/>
        <w:rPr>
          <w:sz w:val="24"/>
          <w:szCs w:val="24"/>
          <w:lang w:bidi="de-DE"/>
        </w:rPr>
      </w:pPr>
    </w:p>
    <w:p w14:paraId="4EB4F2E6" w14:textId="77777777" w:rsidR="00E82A97" w:rsidRPr="001806FC" w:rsidRDefault="00E82A97" w:rsidP="00C8726B">
      <w:pPr>
        <w:spacing w:line="280" w:lineRule="atLeast"/>
        <w:jc w:val="center"/>
        <w:rPr>
          <w:sz w:val="24"/>
          <w:szCs w:val="24"/>
          <w:lang w:bidi="de-DE"/>
        </w:rPr>
      </w:pPr>
    </w:p>
    <w:tbl>
      <w:tblPr>
        <w:tblStyle w:val="TabellefrVergabegrundlageErsteSpaltegrau"/>
        <w:tblW w:w="8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770"/>
        <w:gridCol w:w="4667"/>
      </w:tblGrid>
      <w:tr w:rsidR="00E82A97" w:rsidRPr="001806FC" w14:paraId="2C6B2EA4" w14:textId="77777777" w:rsidTr="00393254">
        <w:trPr>
          <w:trHeight w:val="629"/>
        </w:trPr>
        <w:tc>
          <w:tcPr>
            <w:tcW w:w="3770" w:type="dxa"/>
            <w:noWrap/>
            <w:vAlign w:val="top"/>
            <w:hideMark/>
          </w:tcPr>
          <w:p w14:paraId="0ED753C0" w14:textId="5FEDC1AB" w:rsidR="00E82A97" w:rsidRPr="001806FC" w:rsidRDefault="00A74DB8" w:rsidP="00393254">
            <w:pPr>
              <w:jc w:val="left"/>
            </w:pPr>
            <w:r w:rsidRPr="007F75F6">
              <w:rPr>
                <w:lang w:val="en-GB"/>
              </w:rPr>
              <w:t>Applicant/licence holder:</w:t>
            </w:r>
          </w:p>
        </w:tc>
        <w:tc>
          <w:tcPr>
            <w:tcW w:w="4667" w:type="dxa"/>
            <w:vAlign w:val="top"/>
          </w:tcPr>
          <w:p w14:paraId="75B49954" w14:textId="77777777" w:rsidR="00E82A97" w:rsidRPr="001806FC" w:rsidRDefault="00E82A97" w:rsidP="00393254">
            <w:pPr>
              <w:jc w:val="left"/>
            </w:pPr>
          </w:p>
        </w:tc>
      </w:tr>
      <w:tr w:rsidR="00E82A97" w:rsidRPr="001806FC" w14:paraId="7441E1E1" w14:textId="77777777" w:rsidTr="00393254">
        <w:trPr>
          <w:trHeight w:val="629"/>
        </w:trPr>
        <w:tc>
          <w:tcPr>
            <w:tcW w:w="3770" w:type="dxa"/>
            <w:noWrap/>
            <w:vAlign w:val="top"/>
          </w:tcPr>
          <w:p w14:paraId="26E91EA0" w14:textId="10A19DA2" w:rsidR="00E82A97" w:rsidRPr="001806FC" w:rsidRDefault="00A74DB8" w:rsidP="00393254">
            <w:pPr>
              <w:jc w:val="left"/>
            </w:pPr>
            <w:r w:rsidRPr="007F75F6">
              <w:rPr>
                <w:lang w:val="en-GB"/>
              </w:rPr>
              <w:t>Address:</w:t>
            </w:r>
          </w:p>
        </w:tc>
        <w:tc>
          <w:tcPr>
            <w:tcW w:w="4667" w:type="dxa"/>
            <w:vAlign w:val="top"/>
          </w:tcPr>
          <w:p w14:paraId="584899D2" w14:textId="77777777" w:rsidR="00E82A97" w:rsidRPr="001806FC" w:rsidRDefault="00E82A97" w:rsidP="00393254">
            <w:pPr>
              <w:jc w:val="left"/>
            </w:pPr>
          </w:p>
        </w:tc>
      </w:tr>
      <w:tr w:rsidR="00E82A97" w:rsidRPr="001806FC" w14:paraId="3D5D990D" w14:textId="77777777" w:rsidTr="00393254">
        <w:trPr>
          <w:trHeight w:val="629"/>
        </w:trPr>
        <w:tc>
          <w:tcPr>
            <w:tcW w:w="3770" w:type="dxa"/>
            <w:noWrap/>
            <w:vAlign w:val="top"/>
            <w:hideMark/>
          </w:tcPr>
          <w:p w14:paraId="1E8377B7" w14:textId="04877FD3" w:rsidR="00E82A97" w:rsidRPr="001806FC" w:rsidRDefault="00A74DB8" w:rsidP="00393254">
            <w:pPr>
              <w:jc w:val="left"/>
            </w:pPr>
            <w:r w:rsidRPr="007F75F6">
              <w:rPr>
                <w:lang w:val="en-GB"/>
              </w:rPr>
              <w:t>Name of DC:</w:t>
            </w:r>
          </w:p>
        </w:tc>
        <w:tc>
          <w:tcPr>
            <w:tcW w:w="4667" w:type="dxa"/>
            <w:vAlign w:val="top"/>
          </w:tcPr>
          <w:p w14:paraId="34946E70" w14:textId="77777777" w:rsidR="00E82A97" w:rsidRPr="001806FC" w:rsidRDefault="00E82A97" w:rsidP="00393254">
            <w:pPr>
              <w:jc w:val="left"/>
            </w:pPr>
          </w:p>
        </w:tc>
      </w:tr>
      <w:tr w:rsidR="001F5759" w:rsidRPr="001806FC" w14:paraId="4A85DFA8" w14:textId="77777777" w:rsidTr="00393254">
        <w:trPr>
          <w:trHeight w:val="629"/>
        </w:trPr>
        <w:tc>
          <w:tcPr>
            <w:tcW w:w="3770" w:type="dxa"/>
            <w:noWrap/>
            <w:vAlign w:val="top"/>
          </w:tcPr>
          <w:p w14:paraId="4AC563CF" w14:textId="0282C923" w:rsidR="001F5759" w:rsidRPr="001806FC" w:rsidRDefault="00A74DB8" w:rsidP="00393254">
            <w:pPr>
              <w:jc w:val="left"/>
            </w:pPr>
            <w:r w:rsidRPr="007F75F6">
              <w:rPr>
                <w:lang w:val="en-GB"/>
              </w:rPr>
              <w:t>Date of application:</w:t>
            </w:r>
          </w:p>
        </w:tc>
        <w:tc>
          <w:tcPr>
            <w:tcW w:w="4667" w:type="dxa"/>
            <w:vAlign w:val="top"/>
          </w:tcPr>
          <w:p w14:paraId="1192DF1C" w14:textId="77777777" w:rsidR="001F5759" w:rsidRPr="001806FC" w:rsidRDefault="001F5759" w:rsidP="00393254">
            <w:pPr>
              <w:jc w:val="left"/>
            </w:pPr>
          </w:p>
        </w:tc>
      </w:tr>
      <w:tr w:rsidR="00EC37C9" w:rsidRPr="001806FC" w14:paraId="349D13F1" w14:textId="77777777" w:rsidTr="00393254">
        <w:trPr>
          <w:trHeight w:val="629"/>
        </w:trPr>
        <w:tc>
          <w:tcPr>
            <w:tcW w:w="3770" w:type="dxa"/>
            <w:noWrap/>
            <w:vAlign w:val="top"/>
          </w:tcPr>
          <w:p w14:paraId="0CE20980" w14:textId="177FD72D" w:rsidR="00EC37C9" w:rsidRPr="001806FC" w:rsidRDefault="00A74DB8" w:rsidP="00393254">
            <w:pPr>
              <w:jc w:val="left"/>
            </w:pPr>
            <w:r w:rsidRPr="007F75F6">
              <w:rPr>
                <w:lang w:val="en-GB"/>
              </w:rPr>
              <w:t>The application is being submitted for</w:t>
            </w:r>
          </w:p>
        </w:tc>
        <w:tc>
          <w:tcPr>
            <w:tcW w:w="4667" w:type="dxa"/>
            <w:vAlign w:val="top"/>
          </w:tcPr>
          <w:p w14:paraId="56932254" w14:textId="586C619B" w:rsidR="00EC37C9" w:rsidRDefault="00EC37C9" w:rsidP="00393254">
            <w:pPr>
              <w:jc w:val="left"/>
            </w:pPr>
            <w:r>
              <w:fldChar w:fldCharType="begin">
                <w:ffData>
                  <w:name w:val=""/>
                  <w:enabled/>
                  <w:calcOnExit w:val="0"/>
                  <w:checkBox>
                    <w:sizeAuto/>
                    <w:default w:val="0"/>
                  </w:checkBox>
                </w:ffData>
              </w:fldChar>
            </w:r>
            <w:r>
              <w:instrText xml:space="preserve"> FORMCHECKBOX </w:instrText>
            </w:r>
            <w:r w:rsidR="000F494F">
              <w:fldChar w:fldCharType="separate"/>
            </w:r>
            <w:r>
              <w:fldChar w:fldCharType="end"/>
            </w:r>
            <w:r>
              <w:t xml:space="preserve"> </w:t>
            </w:r>
            <w:r w:rsidR="00A74DB8" w:rsidRPr="007F75F6">
              <w:rPr>
                <w:lang w:val="en-GB"/>
              </w:rPr>
              <w:t xml:space="preserve">a company data </w:t>
            </w:r>
            <w:proofErr w:type="spellStart"/>
            <w:r w:rsidR="00A74DB8" w:rsidRPr="007F75F6">
              <w:rPr>
                <w:lang w:val="en-GB"/>
              </w:rPr>
              <w:t>center</w:t>
            </w:r>
            <w:proofErr w:type="spellEnd"/>
            <w:r>
              <w:br/>
            </w: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74DB8" w:rsidRPr="007F75F6">
              <w:rPr>
                <w:lang w:val="en-GB"/>
              </w:rPr>
              <w:t xml:space="preserve">a colocation data </w:t>
            </w:r>
            <w:proofErr w:type="spellStart"/>
            <w:r w:rsidR="00A74DB8" w:rsidRPr="007F75F6">
              <w:rPr>
                <w:lang w:val="en-GB"/>
              </w:rPr>
              <w:t>center</w:t>
            </w:r>
            <w:proofErr w:type="spellEnd"/>
          </w:p>
          <w:p w14:paraId="6598DE82" w14:textId="05E7EB81" w:rsidR="00EC37C9" w:rsidRPr="001806FC" w:rsidRDefault="00EC37C9" w:rsidP="00393254">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74DB8" w:rsidRPr="007F75F6">
              <w:rPr>
                <w:lang w:val="en-GB"/>
              </w:rPr>
              <w:t>an IT department</w:t>
            </w:r>
            <w:r w:rsidRPr="003A4D30">
              <w:br/>
            </w:r>
          </w:p>
        </w:tc>
      </w:tr>
      <w:tr w:rsidR="00EC37C9" w:rsidRPr="001806FC" w14:paraId="035E6E41" w14:textId="77777777" w:rsidTr="00393254">
        <w:trPr>
          <w:trHeight w:val="629"/>
        </w:trPr>
        <w:tc>
          <w:tcPr>
            <w:tcW w:w="3770" w:type="dxa"/>
            <w:noWrap/>
            <w:vAlign w:val="top"/>
          </w:tcPr>
          <w:p w14:paraId="0912E1EA" w14:textId="7C5102CE" w:rsidR="00EC37C9" w:rsidRPr="001806FC" w:rsidRDefault="00A74DB8" w:rsidP="00393254">
            <w:pPr>
              <w:jc w:val="left"/>
            </w:pPr>
            <w:r w:rsidRPr="007F75F6">
              <w:rPr>
                <w:lang w:val="en-GB"/>
              </w:rPr>
              <w:t>Author:</w:t>
            </w:r>
          </w:p>
        </w:tc>
        <w:tc>
          <w:tcPr>
            <w:tcW w:w="4667" w:type="dxa"/>
            <w:vAlign w:val="top"/>
          </w:tcPr>
          <w:p w14:paraId="34718DEC" w14:textId="77777777" w:rsidR="00EC37C9" w:rsidRPr="001806FC" w:rsidRDefault="00EC37C9" w:rsidP="00393254">
            <w:pPr>
              <w:jc w:val="left"/>
            </w:pPr>
          </w:p>
        </w:tc>
      </w:tr>
      <w:tr w:rsidR="00EC37C9" w:rsidRPr="001806FC" w14:paraId="75E3902F" w14:textId="77777777" w:rsidTr="00393254">
        <w:trPr>
          <w:trHeight w:val="629"/>
        </w:trPr>
        <w:tc>
          <w:tcPr>
            <w:tcW w:w="3770" w:type="dxa"/>
            <w:noWrap/>
            <w:vAlign w:val="top"/>
            <w:hideMark/>
          </w:tcPr>
          <w:p w14:paraId="58B86D15" w14:textId="028F5097" w:rsidR="00EC37C9" w:rsidRPr="001806FC" w:rsidRDefault="00A74DB8" w:rsidP="00393254">
            <w:pPr>
              <w:jc w:val="left"/>
            </w:pPr>
            <w:r w:rsidRPr="007F75F6">
              <w:rPr>
                <w:lang w:val="en-GB"/>
              </w:rPr>
              <w:t>Reporting period:</w:t>
            </w:r>
          </w:p>
        </w:tc>
        <w:tc>
          <w:tcPr>
            <w:tcW w:w="4667" w:type="dxa"/>
            <w:vAlign w:val="top"/>
          </w:tcPr>
          <w:p w14:paraId="363DA4AF" w14:textId="599CA481" w:rsidR="00EC37C9" w:rsidRPr="001806FC" w:rsidRDefault="00A74DB8" w:rsidP="00393254">
            <w:pPr>
              <w:jc w:val="left"/>
            </w:pPr>
            <w:proofErr w:type="spellStart"/>
            <w:r>
              <w:t>from</w:t>
            </w:r>
            <w:proofErr w:type="spellEnd"/>
            <w:r w:rsidR="00EC37C9" w:rsidRPr="001806FC">
              <w:t xml:space="preserve">: </w:t>
            </w:r>
            <w:r w:rsidR="00EC37C9">
              <w:t xml:space="preserve">                     </w:t>
            </w:r>
            <w:proofErr w:type="spellStart"/>
            <w:r>
              <w:t>to</w:t>
            </w:r>
            <w:proofErr w:type="spellEnd"/>
            <w:r w:rsidR="00EC37C9" w:rsidRPr="001806FC">
              <w:t xml:space="preserve">: </w:t>
            </w:r>
          </w:p>
        </w:tc>
      </w:tr>
      <w:tr w:rsidR="00EC37C9" w:rsidRPr="001806FC" w14:paraId="745F31CF" w14:textId="77777777" w:rsidTr="00393254">
        <w:trPr>
          <w:trHeight w:val="629"/>
        </w:trPr>
        <w:tc>
          <w:tcPr>
            <w:tcW w:w="3770" w:type="dxa"/>
            <w:noWrap/>
            <w:vAlign w:val="top"/>
            <w:hideMark/>
          </w:tcPr>
          <w:p w14:paraId="361F4746" w14:textId="5D37F3BB" w:rsidR="00EC37C9" w:rsidRPr="001806FC" w:rsidRDefault="00A74DB8" w:rsidP="00393254">
            <w:pPr>
              <w:jc w:val="left"/>
            </w:pPr>
            <w:r w:rsidRPr="007F75F6">
              <w:rPr>
                <w:lang w:val="en-GB"/>
              </w:rPr>
              <w:t>Date report created:</w:t>
            </w:r>
          </w:p>
        </w:tc>
        <w:tc>
          <w:tcPr>
            <w:tcW w:w="4667" w:type="dxa"/>
            <w:vAlign w:val="top"/>
          </w:tcPr>
          <w:p w14:paraId="68FE06FE" w14:textId="77777777" w:rsidR="00EC37C9" w:rsidRPr="001806FC" w:rsidRDefault="00EC37C9" w:rsidP="00393254">
            <w:pPr>
              <w:jc w:val="left"/>
            </w:pPr>
          </w:p>
        </w:tc>
      </w:tr>
      <w:tr w:rsidR="00EC37C9" w:rsidRPr="001806FC" w14:paraId="0E08B198" w14:textId="77777777" w:rsidTr="00393254">
        <w:trPr>
          <w:trHeight w:val="629"/>
        </w:trPr>
        <w:tc>
          <w:tcPr>
            <w:tcW w:w="3770" w:type="dxa"/>
            <w:noWrap/>
            <w:vAlign w:val="top"/>
          </w:tcPr>
          <w:p w14:paraId="0306D5DA" w14:textId="206945E0" w:rsidR="00EC37C9" w:rsidRDefault="00A74DB8" w:rsidP="00393254">
            <w:pPr>
              <w:jc w:val="left"/>
            </w:pPr>
            <w:r w:rsidRPr="007F75F6">
              <w:rPr>
                <w:lang w:val="en-GB"/>
              </w:rPr>
              <w:t>This is the report</w:t>
            </w:r>
          </w:p>
        </w:tc>
        <w:tc>
          <w:tcPr>
            <w:tcW w:w="4667" w:type="dxa"/>
            <w:vAlign w:val="top"/>
          </w:tcPr>
          <w:p w14:paraId="3846C537" w14:textId="695C2814" w:rsidR="00EC37C9" w:rsidRPr="001806FC" w:rsidRDefault="00EC37C9" w:rsidP="00393254">
            <w:pPr>
              <w:jc w:val="left"/>
            </w:pPr>
            <w:r>
              <w:fldChar w:fldCharType="begin">
                <w:ffData>
                  <w:name w:val=""/>
                  <w:enabled/>
                  <w:calcOnExit w:val="0"/>
                  <w:checkBox>
                    <w:sizeAuto/>
                    <w:default w:val="0"/>
                  </w:checkBox>
                </w:ffData>
              </w:fldChar>
            </w:r>
            <w:r>
              <w:instrText xml:space="preserve"> FORMCHECKBOX </w:instrText>
            </w:r>
            <w:r w:rsidR="000F494F">
              <w:fldChar w:fldCharType="separate"/>
            </w:r>
            <w:r>
              <w:fldChar w:fldCharType="end"/>
            </w:r>
            <w:r>
              <w:t xml:space="preserve"> </w:t>
            </w:r>
            <w:r w:rsidR="00A74DB8" w:rsidRPr="007F75F6">
              <w:rPr>
                <w:lang w:val="en-GB"/>
              </w:rPr>
              <w:t>at the time of application</w:t>
            </w:r>
            <w:r>
              <w:br/>
            </w: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74DB8" w:rsidRPr="007F75F6">
              <w:rPr>
                <w:lang w:val="en-GB"/>
              </w:rPr>
              <w:t>for the final evaluation</w:t>
            </w:r>
          </w:p>
        </w:tc>
      </w:tr>
    </w:tbl>
    <w:p w14:paraId="7E91B9D4" w14:textId="77777777" w:rsidR="00E82A97" w:rsidRPr="001806FC" w:rsidRDefault="00E82A97" w:rsidP="00C8726B">
      <w:pPr>
        <w:spacing w:line="280" w:lineRule="atLeast"/>
        <w:jc w:val="center"/>
        <w:rPr>
          <w:sz w:val="24"/>
          <w:szCs w:val="24"/>
        </w:rPr>
        <w:sectPr w:rsidR="00E82A97" w:rsidRPr="001806FC" w:rsidSect="007F53F0">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134" w:left="1418" w:header="709" w:footer="709" w:gutter="0"/>
          <w:pgNumType w:start="1"/>
          <w:cols w:space="708"/>
          <w:docGrid w:linePitch="360"/>
        </w:sectPr>
      </w:pPr>
    </w:p>
    <w:bookmarkEnd w:id="0"/>
    <w:p w14:paraId="37930143" w14:textId="77777777" w:rsidR="00727F9E" w:rsidRPr="001806FC" w:rsidRDefault="00D94F51" w:rsidP="00393254">
      <w:pPr>
        <w:pStyle w:val="Inhaltsverzeichnisberschrift"/>
        <w:rPr>
          <w:lang w:bidi="de-DE"/>
        </w:rPr>
      </w:pPr>
      <w:r w:rsidRPr="001806FC">
        <w:rPr>
          <w:lang w:bidi="de-DE"/>
        </w:rPr>
        <w:lastRenderedPageBreak/>
        <w:t>Inhaltsverzeichnis</w:t>
      </w:r>
    </w:p>
    <w:p w14:paraId="31773D82" w14:textId="02DE3E3C" w:rsidR="00272C7F" w:rsidRDefault="006C2A82">
      <w:pPr>
        <w:pStyle w:val="Verzeichnis1"/>
        <w:rPr>
          <w:rFonts w:asciiTheme="minorHAnsi" w:hAnsiTheme="minorHAnsi"/>
          <w:noProof/>
          <w:sz w:val="22"/>
          <w:szCs w:val="22"/>
          <w:lang w:eastAsia="de-DE"/>
        </w:rPr>
      </w:pPr>
      <w:r>
        <w:rPr>
          <w:rFonts w:ascii="ArialMT" w:hAnsi="ArialMT" w:cs="ArialMT"/>
          <w:lang w:bidi="de-DE"/>
        </w:rPr>
        <w:fldChar w:fldCharType="begin"/>
      </w:r>
      <w:r>
        <w:rPr>
          <w:rFonts w:ascii="ArialMT" w:hAnsi="ArialMT" w:cs="ArialMT"/>
          <w:lang w:bidi="de-DE"/>
        </w:rPr>
        <w:instrText xml:space="preserve"> TOC \o "1-3" \h \z \u </w:instrText>
      </w:r>
      <w:r>
        <w:rPr>
          <w:rFonts w:ascii="ArialMT" w:hAnsi="ArialMT" w:cs="ArialMT"/>
          <w:lang w:bidi="de-DE"/>
        </w:rPr>
        <w:fldChar w:fldCharType="separate"/>
      </w:r>
      <w:hyperlink w:anchor="_Toc129875188" w:history="1">
        <w:r w:rsidR="00272C7F" w:rsidRPr="00A46037">
          <w:rPr>
            <w:rStyle w:val="Hyperlink"/>
            <w:noProof/>
          </w:rPr>
          <w:t>1</w:t>
        </w:r>
        <w:r w:rsidR="00272C7F">
          <w:rPr>
            <w:rFonts w:asciiTheme="minorHAnsi" w:hAnsiTheme="minorHAnsi"/>
            <w:noProof/>
            <w:sz w:val="22"/>
            <w:szCs w:val="22"/>
            <w:lang w:eastAsia="de-DE"/>
          </w:rPr>
          <w:tab/>
        </w:r>
        <w:r w:rsidR="00272C7F" w:rsidRPr="00A46037">
          <w:rPr>
            <w:rStyle w:val="Hyperlink"/>
            <w:noProof/>
            <w:lang w:val="en-GB"/>
          </w:rPr>
          <w:t>Introduction</w:t>
        </w:r>
        <w:r w:rsidR="00272C7F">
          <w:rPr>
            <w:noProof/>
            <w:webHidden/>
          </w:rPr>
          <w:tab/>
        </w:r>
        <w:r w:rsidR="00272C7F">
          <w:rPr>
            <w:noProof/>
            <w:webHidden/>
          </w:rPr>
          <w:fldChar w:fldCharType="begin"/>
        </w:r>
        <w:r w:rsidR="00272C7F">
          <w:rPr>
            <w:noProof/>
            <w:webHidden/>
          </w:rPr>
          <w:instrText xml:space="preserve"> PAGEREF _Toc129875188 \h </w:instrText>
        </w:r>
        <w:r w:rsidR="00272C7F">
          <w:rPr>
            <w:noProof/>
            <w:webHidden/>
          </w:rPr>
        </w:r>
        <w:r w:rsidR="00272C7F">
          <w:rPr>
            <w:noProof/>
            <w:webHidden/>
          </w:rPr>
          <w:fldChar w:fldCharType="separate"/>
        </w:r>
        <w:r w:rsidR="00272C7F">
          <w:rPr>
            <w:noProof/>
            <w:webHidden/>
          </w:rPr>
          <w:t>3</w:t>
        </w:r>
        <w:r w:rsidR="00272C7F">
          <w:rPr>
            <w:noProof/>
            <w:webHidden/>
          </w:rPr>
          <w:fldChar w:fldCharType="end"/>
        </w:r>
      </w:hyperlink>
    </w:p>
    <w:p w14:paraId="467F614B" w14:textId="20641A67" w:rsidR="00272C7F" w:rsidRDefault="000F494F">
      <w:pPr>
        <w:pStyle w:val="Verzeichnis1"/>
        <w:rPr>
          <w:rFonts w:asciiTheme="minorHAnsi" w:hAnsiTheme="minorHAnsi"/>
          <w:noProof/>
          <w:sz w:val="22"/>
          <w:szCs w:val="22"/>
          <w:lang w:eastAsia="de-DE"/>
        </w:rPr>
      </w:pPr>
      <w:hyperlink w:anchor="_Toc129875189" w:history="1">
        <w:r w:rsidR="00272C7F" w:rsidRPr="00A46037">
          <w:rPr>
            <w:rStyle w:val="Hyperlink"/>
            <w:noProof/>
          </w:rPr>
          <w:t>2</w:t>
        </w:r>
        <w:r w:rsidR="00272C7F">
          <w:rPr>
            <w:rFonts w:asciiTheme="minorHAnsi" w:hAnsiTheme="minorHAnsi"/>
            <w:noProof/>
            <w:sz w:val="22"/>
            <w:szCs w:val="22"/>
            <w:lang w:eastAsia="de-DE"/>
          </w:rPr>
          <w:tab/>
        </w:r>
        <w:r w:rsidR="00272C7F" w:rsidRPr="00A46037">
          <w:rPr>
            <w:rStyle w:val="Hyperlink"/>
            <w:noProof/>
            <w:lang w:val="en-GB"/>
          </w:rPr>
          <w:t>General information on the data center</w:t>
        </w:r>
        <w:r w:rsidR="00272C7F">
          <w:rPr>
            <w:noProof/>
            <w:webHidden/>
          </w:rPr>
          <w:tab/>
        </w:r>
        <w:r w:rsidR="00272C7F">
          <w:rPr>
            <w:noProof/>
            <w:webHidden/>
          </w:rPr>
          <w:fldChar w:fldCharType="begin"/>
        </w:r>
        <w:r w:rsidR="00272C7F">
          <w:rPr>
            <w:noProof/>
            <w:webHidden/>
          </w:rPr>
          <w:instrText xml:space="preserve"> PAGEREF _Toc129875189 \h </w:instrText>
        </w:r>
        <w:r w:rsidR="00272C7F">
          <w:rPr>
            <w:noProof/>
            <w:webHidden/>
          </w:rPr>
        </w:r>
        <w:r w:rsidR="00272C7F">
          <w:rPr>
            <w:noProof/>
            <w:webHidden/>
          </w:rPr>
          <w:fldChar w:fldCharType="separate"/>
        </w:r>
        <w:r w:rsidR="00272C7F">
          <w:rPr>
            <w:noProof/>
            <w:webHidden/>
          </w:rPr>
          <w:t>4</w:t>
        </w:r>
        <w:r w:rsidR="00272C7F">
          <w:rPr>
            <w:noProof/>
            <w:webHidden/>
          </w:rPr>
          <w:fldChar w:fldCharType="end"/>
        </w:r>
      </w:hyperlink>
    </w:p>
    <w:p w14:paraId="1FC45583" w14:textId="067D5EE0" w:rsidR="00272C7F" w:rsidRDefault="000F494F">
      <w:pPr>
        <w:pStyle w:val="Verzeichnis2"/>
        <w:tabs>
          <w:tab w:val="right" w:leader="dot" w:pos="9195"/>
        </w:tabs>
        <w:rPr>
          <w:rFonts w:asciiTheme="minorHAnsi" w:hAnsiTheme="minorHAnsi"/>
          <w:noProof/>
          <w:sz w:val="22"/>
          <w:szCs w:val="22"/>
          <w:lang w:eastAsia="de-DE"/>
        </w:rPr>
      </w:pPr>
      <w:hyperlink w:anchor="_Toc129875190" w:history="1">
        <w:r w:rsidR="00272C7F" w:rsidRPr="00A46037">
          <w:rPr>
            <w:rStyle w:val="Hyperlink"/>
            <w:noProof/>
          </w:rPr>
          <w:t>2.1</w:t>
        </w:r>
        <w:r w:rsidR="00272C7F">
          <w:rPr>
            <w:rFonts w:asciiTheme="minorHAnsi" w:hAnsiTheme="minorHAnsi"/>
            <w:noProof/>
            <w:sz w:val="22"/>
            <w:szCs w:val="22"/>
            <w:lang w:eastAsia="de-DE"/>
          </w:rPr>
          <w:tab/>
        </w:r>
        <w:r w:rsidR="00272C7F" w:rsidRPr="00A46037">
          <w:rPr>
            <w:rStyle w:val="Hyperlink"/>
            <w:noProof/>
            <w:lang w:val="en-GB"/>
          </w:rPr>
          <w:t>Capacity of the data center</w:t>
        </w:r>
        <w:r w:rsidR="00272C7F">
          <w:rPr>
            <w:noProof/>
            <w:webHidden/>
          </w:rPr>
          <w:tab/>
        </w:r>
        <w:r w:rsidR="00272C7F">
          <w:rPr>
            <w:noProof/>
            <w:webHidden/>
          </w:rPr>
          <w:fldChar w:fldCharType="begin"/>
        </w:r>
        <w:r w:rsidR="00272C7F">
          <w:rPr>
            <w:noProof/>
            <w:webHidden/>
          </w:rPr>
          <w:instrText xml:space="preserve"> PAGEREF _Toc129875190 \h </w:instrText>
        </w:r>
        <w:r w:rsidR="00272C7F">
          <w:rPr>
            <w:noProof/>
            <w:webHidden/>
          </w:rPr>
        </w:r>
        <w:r w:rsidR="00272C7F">
          <w:rPr>
            <w:noProof/>
            <w:webHidden/>
          </w:rPr>
          <w:fldChar w:fldCharType="separate"/>
        </w:r>
        <w:r w:rsidR="00272C7F">
          <w:rPr>
            <w:noProof/>
            <w:webHidden/>
          </w:rPr>
          <w:t>4</w:t>
        </w:r>
        <w:r w:rsidR="00272C7F">
          <w:rPr>
            <w:noProof/>
            <w:webHidden/>
          </w:rPr>
          <w:fldChar w:fldCharType="end"/>
        </w:r>
      </w:hyperlink>
    </w:p>
    <w:p w14:paraId="4A113F35" w14:textId="0E9C2840" w:rsidR="00272C7F" w:rsidRDefault="000F494F">
      <w:pPr>
        <w:pStyle w:val="Verzeichnis2"/>
        <w:tabs>
          <w:tab w:val="right" w:leader="dot" w:pos="9195"/>
        </w:tabs>
        <w:rPr>
          <w:rFonts w:asciiTheme="minorHAnsi" w:hAnsiTheme="minorHAnsi"/>
          <w:noProof/>
          <w:sz w:val="22"/>
          <w:szCs w:val="22"/>
          <w:lang w:eastAsia="de-DE"/>
        </w:rPr>
      </w:pPr>
      <w:hyperlink w:anchor="_Toc129875191" w:history="1">
        <w:r w:rsidR="00272C7F" w:rsidRPr="00A46037">
          <w:rPr>
            <w:rStyle w:val="Hyperlink"/>
            <w:noProof/>
            <w:lang w:val="en-US"/>
          </w:rPr>
          <w:t>2.2</w:t>
        </w:r>
        <w:r w:rsidR="00272C7F">
          <w:rPr>
            <w:rFonts w:asciiTheme="minorHAnsi" w:hAnsiTheme="minorHAnsi"/>
            <w:noProof/>
            <w:sz w:val="22"/>
            <w:szCs w:val="22"/>
            <w:lang w:eastAsia="de-DE"/>
          </w:rPr>
          <w:tab/>
        </w:r>
        <w:r w:rsidR="00272C7F" w:rsidRPr="00A46037">
          <w:rPr>
            <w:rStyle w:val="Hyperlink"/>
            <w:noProof/>
            <w:lang w:val="en-GB"/>
          </w:rPr>
          <w:t>Description of the data center</w:t>
        </w:r>
        <w:r w:rsidR="00272C7F">
          <w:rPr>
            <w:noProof/>
            <w:webHidden/>
          </w:rPr>
          <w:tab/>
        </w:r>
        <w:r w:rsidR="00272C7F">
          <w:rPr>
            <w:noProof/>
            <w:webHidden/>
          </w:rPr>
          <w:fldChar w:fldCharType="begin"/>
        </w:r>
        <w:r w:rsidR="00272C7F">
          <w:rPr>
            <w:noProof/>
            <w:webHidden/>
          </w:rPr>
          <w:instrText xml:space="preserve"> PAGEREF _Toc129875191 \h </w:instrText>
        </w:r>
        <w:r w:rsidR="00272C7F">
          <w:rPr>
            <w:noProof/>
            <w:webHidden/>
          </w:rPr>
        </w:r>
        <w:r w:rsidR="00272C7F">
          <w:rPr>
            <w:noProof/>
            <w:webHidden/>
          </w:rPr>
          <w:fldChar w:fldCharType="separate"/>
        </w:r>
        <w:r w:rsidR="00272C7F">
          <w:rPr>
            <w:noProof/>
            <w:webHidden/>
          </w:rPr>
          <w:t>4</w:t>
        </w:r>
        <w:r w:rsidR="00272C7F">
          <w:rPr>
            <w:noProof/>
            <w:webHidden/>
          </w:rPr>
          <w:fldChar w:fldCharType="end"/>
        </w:r>
      </w:hyperlink>
    </w:p>
    <w:p w14:paraId="12B2AC13" w14:textId="5ACD5B6A" w:rsidR="00272C7F" w:rsidRDefault="000F494F">
      <w:pPr>
        <w:pStyle w:val="Verzeichnis1"/>
        <w:rPr>
          <w:rFonts w:asciiTheme="minorHAnsi" w:hAnsiTheme="minorHAnsi"/>
          <w:noProof/>
          <w:sz w:val="22"/>
          <w:szCs w:val="22"/>
          <w:lang w:eastAsia="de-DE"/>
        </w:rPr>
      </w:pPr>
      <w:hyperlink w:anchor="_Toc129875192" w:history="1">
        <w:r w:rsidR="00272C7F" w:rsidRPr="00A46037">
          <w:rPr>
            <w:rStyle w:val="Hyperlink"/>
            <w:noProof/>
          </w:rPr>
          <w:t>3</w:t>
        </w:r>
        <w:r w:rsidR="00272C7F">
          <w:rPr>
            <w:rFonts w:asciiTheme="minorHAnsi" w:hAnsiTheme="minorHAnsi"/>
            <w:noProof/>
            <w:sz w:val="22"/>
            <w:szCs w:val="22"/>
            <w:lang w:eastAsia="de-DE"/>
          </w:rPr>
          <w:tab/>
        </w:r>
        <w:r w:rsidR="00272C7F" w:rsidRPr="00A46037">
          <w:rPr>
            <w:rStyle w:val="Hyperlink"/>
            <w:noProof/>
            <w:lang w:val="en-GB"/>
          </w:rPr>
          <w:t>Compliance with the criteria</w:t>
        </w:r>
        <w:r w:rsidR="00272C7F">
          <w:rPr>
            <w:noProof/>
            <w:webHidden/>
          </w:rPr>
          <w:tab/>
        </w:r>
        <w:r w:rsidR="00272C7F">
          <w:rPr>
            <w:noProof/>
            <w:webHidden/>
          </w:rPr>
          <w:fldChar w:fldCharType="begin"/>
        </w:r>
        <w:r w:rsidR="00272C7F">
          <w:rPr>
            <w:noProof/>
            <w:webHidden/>
          </w:rPr>
          <w:instrText xml:space="preserve"> PAGEREF _Toc129875192 \h </w:instrText>
        </w:r>
        <w:r w:rsidR="00272C7F">
          <w:rPr>
            <w:noProof/>
            <w:webHidden/>
          </w:rPr>
        </w:r>
        <w:r w:rsidR="00272C7F">
          <w:rPr>
            <w:noProof/>
            <w:webHidden/>
          </w:rPr>
          <w:fldChar w:fldCharType="separate"/>
        </w:r>
        <w:r w:rsidR="00272C7F">
          <w:rPr>
            <w:noProof/>
            <w:webHidden/>
          </w:rPr>
          <w:t>5</w:t>
        </w:r>
        <w:r w:rsidR="00272C7F">
          <w:rPr>
            <w:noProof/>
            <w:webHidden/>
          </w:rPr>
          <w:fldChar w:fldCharType="end"/>
        </w:r>
      </w:hyperlink>
    </w:p>
    <w:p w14:paraId="6B8003E1" w14:textId="4DCD01F0" w:rsidR="00272C7F" w:rsidRDefault="000F494F">
      <w:pPr>
        <w:pStyle w:val="Verzeichnis2"/>
        <w:tabs>
          <w:tab w:val="right" w:leader="dot" w:pos="9195"/>
        </w:tabs>
        <w:rPr>
          <w:rFonts w:asciiTheme="minorHAnsi" w:hAnsiTheme="minorHAnsi"/>
          <w:noProof/>
          <w:sz w:val="22"/>
          <w:szCs w:val="22"/>
          <w:lang w:eastAsia="de-DE"/>
        </w:rPr>
      </w:pPr>
      <w:hyperlink w:anchor="_Toc129875193" w:history="1">
        <w:r w:rsidR="00272C7F" w:rsidRPr="00A46037">
          <w:rPr>
            <w:rStyle w:val="Hyperlink"/>
            <w:noProof/>
          </w:rPr>
          <w:t>3.1</w:t>
        </w:r>
        <w:r w:rsidR="00272C7F">
          <w:rPr>
            <w:rFonts w:asciiTheme="minorHAnsi" w:hAnsiTheme="minorHAnsi"/>
            <w:noProof/>
            <w:sz w:val="22"/>
            <w:szCs w:val="22"/>
            <w:lang w:eastAsia="de-DE"/>
          </w:rPr>
          <w:tab/>
        </w:r>
        <w:r w:rsidR="00272C7F" w:rsidRPr="00A46037">
          <w:rPr>
            <w:rStyle w:val="Hyperlink"/>
            <w:noProof/>
            <w:lang w:val="en-GB"/>
          </w:rPr>
          <w:t>Requirements for all applicants</w:t>
        </w:r>
        <w:r w:rsidR="00272C7F">
          <w:rPr>
            <w:noProof/>
            <w:webHidden/>
          </w:rPr>
          <w:tab/>
        </w:r>
        <w:r w:rsidR="00272C7F">
          <w:rPr>
            <w:noProof/>
            <w:webHidden/>
          </w:rPr>
          <w:fldChar w:fldCharType="begin"/>
        </w:r>
        <w:r w:rsidR="00272C7F">
          <w:rPr>
            <w:noProof/>
            <w:webHidden/>
          </w:rPr>
          <w:instrText xml:space="preserve"> PAGEREF _Toc129875193 \h </w:instrText>
        </w:r>
        <w:r w:rsidR="00272C7F">
          <w:rPr>
            <w:noProof/>
            <w:webHidden/>
          </w:rPr>
        </w:r>
        <w:r w:rsidR="00272C7F">
          <w:rPr>
            <w:noProof/>
            <w:webHidden/>
          </w:rPr>
          <w:fldChar w:fldCharType="separate"/>
        </w:r>
        <w:r w:rsidR="00272C7F">
          <w:rPr>
            <w:noProof/>
            <w:webHidden/>
          </w:rPr>
          <w:t>5</w:t>
        </w:r>
        <w:r w:rsidR="00272C7F">
          <w:rPr>
            <w:noProof/>
            <w:webHidden/>
          </w:rPr>
          <w:fldChar w:fldCharType="end"/>
        </w:r>
      </w:hyperlink>
    </w:p>
    <w:p w14:paraId="2921CAAC" w14:textId="517D3A89" w:rsidR="00272C7F" w:rsidRDefault="000F494F">
      <w:pPr>
        <w:pStyle w:val="Verzeichnis3"/>
        <w:tabs>
          <w:tab w:val="right" w:leader="dot" w:pos="9195"/>
        </w:tabs>
        <w:rPr>
          <w:rFonts w:asciiTheme="minorHAnsi" w:hAnsiTheme="minorHAnsi"/>
          <w:noProof/>
          <w:sz w:val="22"/>
          <w:szCs w:val="22"/>
          <w:lang w:eastAsia="de-DE"/>
        </w:rPr>
      </w:pPr>
      <w:hyperlink w:anchor="_Toc129875194" w:history="1">
        <w:r w:rsidR="00272C7F" w:rsidRPr="00A46037">
          <w:rPr>
            <w:rStyle w:val="Hyperlink"/>
            <w:noProof/>
          </w:rPr>
          <w:t>3.1.1</w:t>
        </w:r>
        <w:r w:rsidR="00272C7F">
          <w:rPr>
            <w:rFonts w:asciiTheme="minorHAnsi" w:hAnsiTheme="minorHAnsi"/>
            <w:noProof/>
            <w:sz w:val="22"/>
            <w:szCs w:val="22"/>
            <w:lang w:eastAsia="de-DE"/>
          </w:rPr>
          <w:tab/>
        </w:r>
        <w:r w:rsidR="00272C7F" w:rsidRPr="00A46037">
          <w:rPr>
            <w:rStyle w:val="Hyperlink"/>
            <w:noProof/>
            <w:lang w:val="en-GB"/>
          </w:rPr>
          <w:t>Energy management system</w:t>
        </w:r>
        <w:r w:rsidR="00272C7F">
          <w:rPr>
            <w:noProof/>
            <w:webHidden/>
          </w:rPr>
          <w:tab/>
        </w:r>
        <w:r w:rsidR="00272C7F">
          <w:rPr>
            <w:noProof/>
            <w:webHidden/>
          </w:rPr>
          <w:fldChar w:fldCharType="begin"/>
        </w:r>
        <w:r w:rsidR="00272C7F">
          <w:rPr>
            <w:noProof/>
            <w:webHidden/>
          </w:rPr>
          <w:instrText xml:space="preserve"> PAGEREF _Toc129875194 \h </w:instrText>
        </w:r>
        <w:r w:rsidR="00272C7F">
          <w:rPr>
            <w:noProof/>
            <w:webHidden/>
          </w:rPr>
        </w:r>
        <w:r w:rsidR="00272C7F">
          <w:rPr>
            <w:noProof/>
            <w:webHidden/>
          </w:rPr>
          <w:fldChar w:fldCharType="separate"/>
        </w:r>
        <w:r w:rsidR="00272C7F">
          <w:rPr>
            <w:noProof/>
            <w:webHidden/>
          </w:rPr>
          <w:t>5</w:t>
        </w:r>
        <w:r w:rsidR="00272C7F">
          <w:rPr>
            <w:noProof/>
            <w:webHidden/>
          </w:rPr>
          <w:fldChar w:fldCharType="end"/>
        </w:r>
      </w:hyperlink>
    </w:p>
    <w:p w14:paraId="1068ECBF" w14:textId="15414D2B" w:rsidR="00272C7F" w:rsidRDefault="000F494F">
      <w:pPr>
        <w:pStyle w:val="Verzeichnis3"/>
        <w:tabs>
          <w:tab w:val="right" w:leader="dot" w:pos="9195"/>
        </w:tabs>
        <w:rPr>
          <w:rFonts w:asciiTheme="minorHAnsi" w:hAnsiTheme="minorHAnsi"/>
          <w:noProof/>
          <w:sz w:val="22"/>
          <w:szCs w:val="22"/>
          <w:lang w:eastAsia="de-DE"/>
        </w:rPr>
      </w:pPr>
      <w:hyperlink w:anchor="_Toc129875195" w:history="1">
        <w:r w:rsidR="00272C7F" w:rsidRPr="00A46037">
          <w:rPr>
            <w:rStyle w:val="Hyperlink"/>
            <w:noProof/>
          </w:rPr>
          <w:t>3.1.2</w:t>
        </w:r>
        <w:r w:rsidR="00272C7F">
          <w:rPr>
            <w:rFonts w:asciiTheme="minorHAnsi" w:hAnsiTheme="minorHAnsi"/>
            <w:noProof/>
            <w:sz w:val="22"/>
            <w:szCs w:val="22"/>
            <w:lang w:eastAsia="de-DE"/>
          </w:rPr>
          <w:tab/>
        </w:r>
        <w:r w:rsidR="00272C7F" w:rsidRPr="00A46037">
          <w:rPr>
            <w:rStyle w:val="Hyperlink"/>
            <w:noProof/>
            <w:lang w:val="en-GB"/>
          </w:rPr>
          <w:t>Energy Efficiency Report at the time of application</w:t>
        </w:r>
        <w:r w:rsidR="00272C7F">
          <w:rPr>
            <w:noProof/>
            <w:webHidden/>
          </w:rPr>
          <w:tab/>
        </w:r>
        <w:r w:rsidR="00272C7F">
          <w:rPr>
            <w:noProof/>
            <w:webHidden/>
          </w:rPr>
          <w:fldChar w:fldCharType="begin"/>
        </w:r>
        <w:r w:rsidR="00272C7F">
          <w:rPr>
            <w:noProof/>
            <w:webHidden/>
          </w:rPr>
          <w:instrText xml:space="preserve"> PAGEREF _Toc129875195 \h </w:instrText>
        </w:r>
        <w:r w:rsidR="00272C7F">
          <w:rPr>
            <w:noProof/>
            <w:webHidden/>
          </w:rPr>
        </w:r>
        <w:r w:rsidR="00272C7F">
          <w:rPr>
            <w:noProof/>
            <w:webHidden/>
          </w:rPr>
          <w:fldChar w:fldCharType="separate"/>
        </w:r>
        <w:r w:rsidR="00272C7F">
          <w:rPr>
            <w:noProof/>
            <w:webHidden/>
          </w:rPr>
          <w:t>5</w:t>
        </w:r>
        <w:r w:rsidR="00272C7F">
          <w:rPr>
            <w:noProof/>
            <w:webHidden/>
          </w:rPr>
          <w:fldChar w:fldCharType="end"/>
        </w:r>
      </w:hyperlink>
    </w:p>
    <w:p w14:paraId="244F2112" w14:textId="39A02A40" w:rsidR="00272C7F" w:rsidRDefault="000F494F">
      <w:pPr>
        <w:pStyle w:val="Verzeichnis3"/>
        <w:tabs>
          <w:tab w:val="right" w:leader="dot" w:pos="9195"/>
        </w:tabs>
        <w:rPr>
          <w:rFonts w:asciiTheme="minorHAnsi" w:hAnsiTheme="minorHAnsi"/>
          <w:noProof/>
          <w:sz w:val="22"/>
          <w:szCs w:val="22"/>
          <w:lang w:eastAsia="de-DE"/>
        </w:rPr>
      </w:pPr>
      <w:hyperlink w:anchor="_Toc129875196" w:history="1">
        <w:r w:rsidR="00272C7F" w:rsidRPr="00A46037">
          <w:rPr>
            <w:rStyle w:val="Hyperlink"/>
            <w:noProof/>
          </w:rPr>
          <w:t>3.1.3</w:t>
        </w:r>
        <w:r w:rsidR="00272C7F">
          <w:rPr>
            <w:rFonts w:asciiTheme="minorHAnsi" w:hAnsiTheme="minorHAnsi"/>
            <w:noProof/>
            <w:sz w:val="22"/>
            <w:szCs w:val="22"/>
            <w:lang w:eastAsia="de-DE"/>
          </w:rPr>
          <w:tab/>
        </w:r>
        <w:r w:rsidR="00272C7F" w:rsidRPr="00A46037">
          <w:rPr>
            <w:rStyle w:val="Hyperlink"/>
            <w:noProof/>
            <w:lang w:val="en-GB"/>
          </w:rPr>
          <w:t>Energy Efficiency Report for final evaluation</w:t>
        </w:r>
        <w:r w:rsidR="00272C7F">
          <w:rPr>
            <w:noProof/>
            <w:webHidden/>
          </w:rPr>
          <w:tab/>
        </w:r>
        <w:r w:rsidR="00272C7F">
          <w:rPr>
            <w:noProof/>
            <w:webHidden/>
          </w:rPr>
          <w:fldChar w:fldCharType="begin"/>
        </w:r>
        <w:r w:rsidR="00272C7F">
          <w:rPr>
            <w:noProof/>
            <w:webHidden/>
          </w:rPr>
          <w:instrText xml:space="preserve"> PAGEREF _Toc129875196 \h </w:instrText>
        </w:r>
        <w:r w:rsidR="00272C7F">
          <w:rPr>
            <w:noProof/>
            <w:webHidden/>
          </w:rPr>
        </w:r>
        <w:r w:rsidR="00272C7F">
          <w:rPr>
            <w:noProof/>
            <w:webHidden/>
          </w:rPr>
          <w:fldChar w:fldCharType="separate"/>
        </w:r>
        <w:r w:rsidR="00272C7F">
          <w:rPr>
            <w:noProof/>
            <w:webHidden/>
          </w:rPr>
          <w:t>5</w:t>
        </w:r>
        <w:r w:rsidR="00272C7F">
          <w:rPr>
            <w:noProof/>
            <w:webHidden/>
          </w:rPr>
          <w:fldChar w:fldCharType="end"/>
        </w:r>
      </w:hyperlink>
    </w:p>
    <w:p w14:paraId="0AB48689" w14:textId="1E068CE4" w:rsidR="00272C7F" w:rsidRDefault="000F494F">
      <w:pPr>
        <w:pStyle w:val="Verzeichnis2"/>
        <w:tabs>
          <w:tab w:val="right" w:leader="dot" w:pos="9195"/>
        </w:tabs>
        <w:rPr>
          <w:rFonts w:asciiTheme="minorHAnsi" w:hAnsiTheme="minorHAnsi"/>
          <w:noProof/>
          <w:sz w:val="22"/>
          <w:szCs w:val="22"/>
          <w:lang w:eastAsia="de-DE"/>
        </w:rPr>
      </w:pPr>
      <w:hyperlink w:anchor="_Toc129875197" w:history="1">
        <w:r w:rsidR="00272C7F" w:rsidRPr="00A46037">
          <w:rPr>
            <w:rStyle w:val="Hyperlink"/>
            <w:noProof/>
          </w:rPr>
          <w:t>3.2</w:t>
        </w:r>
        <w:r w:rsidR="00272C7F">
          <w:rPr>
            <w:rFonts w:asciiTheme="minorHAnsi" w:hAnsiTheme="minorHAnsi"/>
            <w:noProof/>
            <w:sz w:val="22"/>
            <w:szCs w:val="22"/>
            <w:lang w:eastAsia="de-DE"/>
          </w:rPr>
          <w:tab/>
        </w:r>
        <w:r w:rsidR="00272C7F" w:rsidRPr="00A46037">
          <w:rPr>
            <w:rStyle w:val="Hyperlink"/>
            <w:noProof/>
            <w:lang w:val="en-GB"/>
          </w:rPr>
          <w:t>Requirements for data center operators</w:t>
        </w:r>
        <w:r w:rsidR="00272C7F">
          <w:rPr>
            <w:noProof/>
            <w:webHidden/>
          </w:rPr>
          <w:tab/>
        </w:r>
        <w:r w:rsidR="00272C7F">
          <w:rPr>
            <w:noProof/>
            <w:webHidden/>
          </w:rPr>
          <w:fldChar w:fldCharType="begin"/>
        </w:r>
        <w:r w:rsidR="00272C7F">
          <w:rPr>
            <w:noProof/>
            <w:webHidden/>
          </w:rPr>
          <w:instrText xml:space="preserve"> PAGEREF _Toc129875197 \h </w:instrText>
        </w:r>
        <w:r w:rsidR="00272C7F">
          <w:rPr>
            <w:noProof/>
            <w:webHidden/>
          </w:rPr>
        </w:r>
        <w:r w:rsidR="00272C7F">
          <w:rPr>
            <w:noProof/>
            <w:webHidden/>
          </w:rPr>
          <w:fldChar w:fldCharType="separate"/>
        </w:r>
        <w:r w:rsidR="00272C7F">
          <w:rPr>
            <w:noProof/>
            <w:webHidden/>
          </w:rPr>
          <w:t>6</w:t>
        </w:r>
        <w:r w:rsidR="00272C7F">
          <w:rPr>
            <w:noProof/>
            <w:webHidden/>
          </w:rPr>
          <w:fldChar w:fldCharType="end"/>
        </w:r>
      </w:hyperlink>
    </w:p>
    <w:p w14:paraId="4A99E4D3" w14:textId="47AEC34B" w:rsidR="00272C7F" w:rsidRDefault="000F494F">
      <w:pPr>
        <w:pStyle w:val="Verzeichnis3"/>
        <w:tabs>
          <w:tab w:val="right" w:leader="dot" w:pos="9195"/>
        </w:tabs>
        <w:rPr>
          <w:rFonts w:asciiTheme="minorHAnsi" w:hAnsiTheme="minorHAnsi"/>
          <w:noProof/>
          <w:sz w:val="22"/>
          <w:szCs w:val="22"/>
          <w:lang w:eastAsia="de-DE"/>
        </w:rPr>
      </w:pPr>
      <w:hyperlink w:anchor="_Toc129875198" w:history="1">
        <w:r w:rsidR="00272C7F" w:rsidRPr="00A46037">
          <w:rPr>
            <w:rStyle w:val="Hyperlink"/>
            <w:noProof/>
          </w:rPr>
          <w:t>3.2.1</w:t>
        </w:r>
        <w:r w:rsidR="00272C7F">
          <w:rPr>
            <w:rFonts w:asciiTheme="minorHAnsi" w:hAnsiTheme="minorHAnsi"/>
            <w:noProof/>
            <w:sz w:val="22"/>
            <w:szCs w:val="22"/>
            <w:lang w:eastAsia="de-DE"/>
          </w:rPr>
          <w:tab/>
        </w:r>
        <w:r w:rsidR="00272C7F" w:rsidRPr="00A46037">
          <w:rPr>
            <w:rStyle w:val="Hyperlink"/>
            <w:noProof/>
            <w:lang w:val="en-GB"/>
          </w:rPr>
          <w:t>Measurement concept for the technical building equipment</w:t>
        </w:r>
        <w:r w:rsidR="00272C7F">
          <w:rPr>
            <w:noProof/>
            <w:webHidden/>
          </w:rPr>
          <w:tab/>
        </w:r>
        <w:r w:rsidR="00272C7F">
          <w:rPr>
            <w:noProof/>
            <w:webHidden/>
          </w:rPr>
          <w:fldChar w:fldCharType="begin"/>
        </w:r>
        <w:r w:rsidR="00272C7F">
          <w:rPr>
            <w:noProof/>
            <w:webHidden/>
          </w:rPr>
          <w:instrText xml:space="preserve"> PAGEREF _Toc129875198 \h </w:instrText>
        </w:r>
        <w:r w:rsidR="00272C7F">
          <w:rPr>
            <w:noProof/>
            <w:webHidden/>
          </w:rPr>
        </w:r>
        <w:r w:rsidR="00272C7F">
          <w:rPr>
            <w:noProof/>
            <w:webHidden/>
          </w:rPr>
          <w:fldChar w:fldCharType="separate"/>
        </w:r>
        <w:r w:rsidR="00272C7F">
          <w:rPr>
            <w:noProof/>
            <w:webHidden/>
          </w:rPr>
          <w:t>6</w:t>
        </w:r>
        <w:r w:rsidR="00272C7F">
          <w:rPr>
            <w:noProof/>
            <w:webHidden/>
          </w:rPr>
          <w:fldChar w:fldCharType="end"/>
        </w:r>
      </w:hyperlink>
    </w:p>
    <w:p w14:paraId="0CEC4F31" w14:textId="572EFB11" w:rsidR="00272C7F" w:rsidRDefault="000F494F">
      <w:pPr>
        <w:pStyle w:val="Verzeichnis3"/>
        <w:tabs>
          <w:tab w:val="right" w:leader="dot" w:pos="9195"/>
        </w:tabs>
        <w:rPr>
          <w:rFonts w:asciiTheme="minorHAnsi" w:hAnsiTheme="minorHAnsi"/>
          <w:noProof/>
          <w:sz w:val="22"/>
          <w:szCs w:val="22"/>
          <w:lang w:eastAsia="de-DE"/>
        </w:rPr>
      </w:pPr>
      <w:hyperlink w:anchor="_Toc129875199" w:history="1">
        <w:r w:rsidR="00272C7F" w:rsidRPr="00A46037">
          <w:rPr>
            <w:rStyle w:val="Hyperlink"/>
            <w:noProof/>
          </w:rPr>
          <w:t>3.2.2</w:t>
        </w:r>
        <w:r w:rsidR="00272C7F">
          <w:rPr>
            <w:rFonts w:asciiTheme="minorHAnsi" w:hAnsiTheme="minorHAnsi"/>
            <w:noProof/>
            <w:sz w:val="22"/>
            <w:szCs w:val="22"/>
            <w:lang w:eastAsia="de-DE"/>
          </w:rPr>
          <w:tab/>
        </w:r>
        <w:r w:rsidR="00272C7F" w:rsidRPr="00A46037">
          <w:rPr>
            <w:rStyle w:val="Hyperlink"/>
            <w:noProof/>
            <w:lang w:val="en-GB"/>
          </w:rPr>
          <w:t>Monitoring energy, air conditioning and water</w:t>
        </w:r>
        <w:r w:rsidR="00272C7F">
          <w:rPr>
            <w:noProof/>
            <w:webHidden/>
          </w:rPr>
          <w:tab/>
        </w:r>
        <w:r w:rsidR="00272C7F">
          <w:rPr>
            <w:noProof/>
            <w:webHidden/>
          </w:rPr>
          <w:fldChar w:fldCharType="begin"/>
        </w:r>
        <w:r w:rsidR="00272C7F">
          <w:rPr>
            <w:noProof/>
            <w:webHidden/>
          </w:rPr>
          <w:instrText xml:space="preserve"> PAGEREF _Toc129875199 \h </w:instrText>
        </w:r>
        <w:r w:rsidR="00272C7F">
          <w:rPr>
            <w:noProof/>
            <w:webHidden/>
          </w:rPr>
        </w:r>
        <w:r w:rsidR="00272C7F">
          <w:rPr>
            <w:noProof/>
            <w:webHidden/>
          </w:rPr>
          <w:fldChar w:fldCharType="separate"/>
        </w:r>
        <w:r w:rsidR="00272C7F">
          <w:rPr>
            <w:noProof/>
            <w:webHidden/>
          </w:rPr>
          <w:t>6</w:t>
        </w:r>
        <w:r w:rsidR="00272C7F">
          <w:rPr>
            <w:noProof/>
            <w:webHidden/>
          </w:rPr>
          <w:fldChar w:fldCharType="end"/>
        </w:r>
      </w:hyperlink>
    </w:p>
    <w:p w14:paraId="60A6CACA" w14:textId="0A0B3DF6" w:rsidR="00272C7F" w:rsidRDefault="000F494F">
      <w:pPr>
        <w:pStyle w:val="Verzeichnis3"/>
        <w:tabs>
          <w:tab w:val="right" w:leader="dot" w:pos="9195"/>
        </w:tabs>
        <w:rPr>
          <w:rFonts w:asciiTheme="minorHAnsi" w:hAnsiTheme="minorHAnsi"/>
          <w:noProof/>
          <w:sz w:val="22"/>
          <w:szCs w:val="22"/>
          <w:lang w:eastAsia="de-DE"/>
        </w:rPr>
      </w:pPr>
      <w:hyperlink w:anchor="_Toc129875200" w:history="1">
        <w:r w:rsidR="00272C7F" w:rsidRPr="00A46037">
          <w:rPr>
            <w:rStyle w:val="Hyperlink"/>
            <w:noProof/>
          </w:rPr>
          <w:t>3.2.3</w:t>
        </w:r>
        <w:r w:rsidR="00272C7F">
          <w:rPr>
            <w:rFonts w:asciiTheme="minorHAnsi" w:hAnsiTheme="minorHAnsi"/>
            <w:noProof/>
            <w:sz w:val="22"/>
            <w:szCs w:val="22"/>
            <w:lang w:eastAsia="de-DE"/>
          </w:rPr>
          <w:tab/>
        </w:r>
        <w:r w:rsidR="00272C7F" w:rsidRPr="00A46037">
          <w:rPr>
            <w:rStyle w:val="Hyperlink"/>
            <w:noProof/>
            <w:lang w:val="en-GB"/>
          </w:rPr>
          <w:t>Inventory list for the cooling technology and energy provision</w:t>
        </w:r>
        <w:r w:rsidR="00272C7F">
          <w:rPr>
            <w:noProof/>
            <w:webHidden/>
          </w:rPr>
          <w:tab/>
        </w:r>
        <w:r w:rsidR="00272C7F">
          <w:rPr>
            <w:noProof/>
            <w:webHidden/>
          </w:rPr>
          <w:fldChar w:fldCharType="begin"/>
        </w:r>
        <w:r w:rsidR="00272C7F">
          <w:rPr>
            <w:noProof/>
            <w:webHidden/>
          </w:rPr>
          <w:instrText xml:space="preserve"> PAGEREF _Toc129875200 \h </w:instrText>
        </w:r>
        <w:r w:rsidR="00272C7F">
          <w:rPr>
            <w:noProof/>
            <w:webHidden/>
          </w:rPr>
        </w:r>
        <w:r w:rsidR="00272C7F">
          <w:rPr>
            <w:noProof/>
            <w:webHidden/>
          </w:rPr>
          <w:fldChar w:fldCharType="separate"/>
        </w:r>
        <w:r w:rsidR="00272C7F">
          <w:rPr>
            <w:noProof/>
            <w:webHidden/>
          </w:rPr>
          <w:t>7</w:t>
        </w:r>
        <w:r w:rsidR="00272C7F">
          <w:rPr>
            <w:noProof/>
            <w:webHidden/>
          </w:rPr>
          <w:fldChar w:fldCharType="end"/>
        </w:r>
      </w:hyperlink>
    </w:p>
    <w:p w14:paraId="79BE85DD" w14:textId="674CF974" w:rsidR="00272C7F" w:rsidRDefault="000F494F">
      <w:pPr>
        <w:pStyle w:val="Verzeichnis3"/>
        <w:tabs>
          <w:tab w:val="right" w:leader="dot" w:pos="9195"/>
        </w:tabs>
        <w:rPr>
          <w:rFonts w:asciiTheme="minorHAnsi" w:hAnsiTheme="minorHAnsi"/>
          <w:noProof/>
          <w:sz w:val="22"/>
          <w:szCs w:val="22"/>
          <w:lang w:eastAsia="de-DE"/>
        </w:rPr>
      </w:pPr>
      <w:hyperlink w:anchor="_Toc129875201" w:history="1">
        <w:r w:rsidR="00272C7F" w:rsidRPr="00A46037">
          <w:rPr>
            <w:rStyle w:val="Hyperlink"/>
            <w:noProof/>
          </w:rPr>
          <w:t>3.2.4</w:t>
        </w:r>
        <w:r w:rsidR="00272C7F">
          <w:rPr>
            <w:rFonts w:asciiTheme="minorHAnsi" w:hAnsiTheme="minorHAnsi"/>
            <w:noProof/>
            <w:sz w:val="22"/>
            <w:szCs w:val="22"/>
            <w:lang w:eastAsia="de-DE"/>
          </w:rPr>
          <w:tab/>
        </w:r>
        <w:r w:rsidR="00272C7F" w:rsidRPr="00A46037">
          <w:rPr>
            <w:rStyle w:val="Hyperlink"/>
            <w:noProof/>
            <w:lang w:val="en-GB"/>
          </w:rPr>
          <w:t>Renewable energies</w:t>
        </w:r>
        <w:r w:rsidR="00272C7F">
          <w:rPr>
            <w:noProof/>
            <w:webHidden/>
          </w:rPr>
          <w:tab/>
        </w:r>
        <w:r w:rsidR="00272C7F">
          <w:rPr>
            <w:noProof/>
            <w:webHidden/>
          </w:rPr>
          <w:fldChar w:fldCharType="begin"/>
        </w:r>
        <w:r w:rsidR="00272C7F">
          <w:rPr>
            <w:noProof/>
            <w:webHidden/>
          </w:rPr>
          <w:instrText xml:space="preserve"> PAGEREF _Toc129875201 \h </w:instrText>
        </w:r>
        <w:r w:rsidR="00272C7F">
          <w:rPr>
            <w:noProof/>
            <w:webHidden/>
          </w:rPr>
        </w:r>
        <w:r w:rsidR="00272C7F">
          <w:rPr>
            <w:noProof/>
            <w:webHidden/>
          </w:rPr>
          <w:fldChar w:fldCharType="separate"/>
        </w:r>
        <w:r w:rsidR="00272C7F">
          <w:rPr>
            <w:noProof/>
            <w:webHidden/>
          </w:rPr>
          <w:t>8</w:t>
        </w:r>
        <w:r w:rsidR="00272C7F">
          <w:rPr>
            <w:noProof/>
            <w:webHidden/>
          </w:rPr>
          <w:fldChar w:fldCharType="end"/>
        </w:r>
      </w:hyperlink>
    </w:p>
    <w:p w14:paraId="1D22715D" w14:textId="096B4315" w:rsidR="00272C7F" w:rsidRDefault="000F494F">
      <w:pPr>
        <w:pStyle w:val="Verzeichnis3"/>
        <w:tabs>
          <w:tab w:val="right" w:leader="dot" w:pos="9195"/>
        </w:tabs>
        <w:rPr>
          <w:rFonts w:asciiTheme="minorHAnsi" w:hAnsiTheme="minorHAnsi"/>
          <w:noProof/>
          <w:sz w:val="22"/>
          <w:szCs w:val="22"/>
          <w:lang w:eastAsia="de-DE"/>
        </w:rPr>
      </w:pPr>
      <w:hyperlink w:anchor="_Toc129875202" w:history="1">
        <w:r w:rsidR="00272C7F" w:rsidRPr="00A46037">
          <w:rPr>
            <w:rStyle w:val="Hyperlink"/>
            <w:noProof/>
          </w:rPr>
          <w:t>3.2.5</w:t>
        </w:r>
        <w:r w:rsidR="00272C7F">
          <w:rPr>
            <w:rFonts w:asciiTheme="minorHAnsi" w:hAnsiTheme="minorHAnsi"/>
            <w:noProof/>
            <w:sz w:val="22"/>
            <w:szCs w:val="22"/>
            <w:lang w:eastAsia="de-DE"/>
          </w:rPr>
          <w:tab/>
        </w:r>
        <w:r w:rsidR="00272C7F" w:rsidRPr="00A46037">
          <w:rPr>
            <w:rStyle w:val="Hyperlink"/>
            <w:noProof/>
            <w:lang w:val="en-GB"/>
          </w:rPr>
          <w:t>Publicly accessible information</w:t>
        </w:r>
        <w:r w:rsidR="00272C7F">
          <w:rPr>
            <w:noProof/>
            <w:webHidden/>
          </w:rPr>
          <w:tab/>
        </w:r>
        <w:r w:rsidR="00272C7F">
          <w:rPr>
            <w:noProof/>
            <w:webHidden/>
          </w:rPr>
          <w:fldChar w:fldCharType="begin"/>
        </w:r>
        <w:r w:rsidR="00272C7F">
          <w:rPr>
            <w:noProof/>
            <w:webHidden/>
          </w:rPr>
          <w:instrText xml:space="preserve"> PAGEREF _Toc129875202 \h </w:instrText>
        </w:r>
        <w:r w:rsidR="00272C7F">
          <w:rPr>
            <w:noProof/>
            <w:webHidden/>
          </w:rPr>
        </w:r>
        <w:r w:rsidR="00272C7F">
          <w:rPr>
            <w:noProof/>
            <w:webHidden/>
          </w:rPr>
          <w:fldChar w:fldCharType="separate"/>
        </w:r>
        <w:r w:rsidR="00272C7F">
          <w:rPr>
            <w:noProof/>
            <w:webHidden/>
          </w:rPr>
          <w:t>8</w:t>
        </w:r>
        <w:r w:rsidR="00272C7F">
          <w:rPr>
            <w:noProof/>
            <w:webHidden/>
          </w:rPr>
          <w:fldChar w:fldCharType="end"/>
        </w:r>
      </w:hyperlink>
    </w:p>
    <w:p w14:paraId="4D63BCD9" w14:textId="0ABCB283" w:rsidR="00272C7F" w:rsidRDefault="000F494F">
      <w:pPr>
        <w:pStyle w:val="Verzeichnis3"/>
        <w:tabs>
          <w:tab w:val="right" w:leader="dot" w:pos="9195"/>
        </w:tabs>
        <w:rPr>
          <w:rFonts w:asciiTheme="minorHAnsi" w:hAnsiTheme="minorHAnsi"/>
          <w:noProof/>
          <w:sz w:val="22"/>
          <w:szCs w:val="22"/>
          <w:lang w:eastAsia="de-DE"/>
        </w:rPr>
      </w:pPr>
      <w:hyperlink w:anchor="_Toc129875203" w:history="1">
        <w:r w:rsidR="00272C7F" w:rsidRPr="00A46037">
          <w:rPr>
            <w:rStyle w:val="Hyperlink"/>
            <w:noProof/>
          </w:rPr>
          <w:t>3.2.6</w:t>
        </w:r>
        <w:r w:rsidR="00272C7F">
          <w:rPr>
            <w:rFonts w:asciiTheme="minorHAnsi" w:hAnsiTheme="minorHAnsi"/>
            <w:noProof/>
            <w:sz w:val="22"/>
            <w:szCs w:val="22"/>
            <w:lang w:eastAsia="de-DE"/>
          </w:rPr>
          <w:tab/>
        </w:r>
        <w:r w:rsidR="00272C7F" w:rsidRPr="00A46037">
          <w:rPr>
            <w:rStyle w:val="Hyperlink"/>
            <w:noProof/>
            <w:lang w:val="en-GB"/>
          </w:rPr>
          <w:t>Requirements for data center service providers</w:t>
        </w:r>
        <w:r w:rsidR="00272C7F">
          <w:rPr>
            <w:noProof/>
            <w:webHidden/>
          </w:rPr>
          <w:tab/>
        </w:r>
        <w:r w:rsidR="00272C7F">
          <w:rPr>
            <w:noProof/>
            <w:webHidden/>
          </w:rPr>
          <w:fldChar w:fldCharType="begin"/>
        </w:r>
        <w:r w:rsidR="00272C7F">
          <w:rPr>
            <w:noProof/>
            <w:webHidden/>
          </w:rPr>
          <w:instrText xml:space="preserve"> PAGEREF _Toc129875203 \h </w:instrText>
        </w:r>
        <w:r w:rsidR="00272C7F">
          <w:rPr>
            <w:noProof/>
            <w:webHidden/>
          </w:rPr>
        </w:r>
        <w:r w:rsidR="00272C7F">
          <w:rPr>
            <w:noProof/>
            <w:webHidden/>
          </w:rPr>
          <w:fldChar w:fldCharType="separate"/>
        </w:r>
        <w:r w:rsidR="00272C7F">
          <w:rPr>
            <w:noProof/>
            <w:webHidden/>
          </w:rPr>
          <w:t>9</w:t>
        </w:r>
        <w:r w:rsidR="00272C7F">
          <w:rPr>
            <w:noProof/>
            <w:webHidden/>
          </w:rPr>
          <w:fldChar w:fldCharType="end"/>
        </w:r>
      </w:hyperlink>
    </w:p>
    <w:p w14:paraId="0650B64A" w14:textId="3780AF5B" w:rsidR="00272C7F" w:rsidRDefault="000F494F">
      <w:pPr>
        <w:pStyle w:val="Verzeichnis3"/>
        <w:tabs>
          <w:tab w:val="right" w:leader="dot" w:pos="9195"/>
        </w:tabs>
        <w:rPr>
          <w:rFonts w:asciiTheme="minorHAnsi" w:hAnsiTheme="minorHAnsi"/>
          <w:noProof/>
          <w:sz w:val="22"/>
          <w:szCs w:val="22"/>
          <w:lang w:eastAsia="de-DE"/>
        </w:rPr>
      </w:pPr>
      <w:hyperlink w:anchor="_Toc129875204" w:history="1">
        <w:r w:rsidR="00272C7F" w:rsidRPr="00A46037">
          <w:rPr>
            <w:rStyle w:val="Hyperlink"/>
            <w:noProof/>
          </w:rPr>
          <w:t>3.2.7</w:t>
        </w:r>
        <w:r w:rsidR="00272C7F">
          <w:rPr>
            <w:rFonts w:asciiTheme="minorHAnsi" w:hAnsiTheme="minorHAnsi"/>
            <w:noProof/>
            <w:sz w:val="22"/>
            <w:szCs w:val="22"/>
            <w:lang w:eastAsia="de-DE"/>
          </w:rPr>
          <w:tab/>
        </w:r>
        <w:r w:rsidR="00272C7F" w:rsidRPr="00A46037">
          <w:rPr>
            <w:rStyle w:val="Hyperlink"/>
            <w:noProof/>
            <w:lang w:val="en-GB"/>
          </w:rPr>
          <w:t>Power Usage Effectiveness (PUE) – efficiency of the infrastructure</w:t>
        </w:r>
        <w:r w:rsidR="00272C7F">
          <w:rPr>
            <w:noProof/>
            <w:webHidden/>
          </w:rPr>
          <w:tab/>
        </w:r>
        <w:r w:rsidR="00272C7F">
          <w:rPr>
            <w:noProof/>
            <w:webHidden/>
          </w:rPr>
          <w:fldChar w:fldCharType="begin"/>
        </w:r>
        <w:r w:rsidR="00272C7F">
          <w:rPr>
            <w:noProof/>
            <w:webHidden/>
          </w:rPr>
          <w:instrText xml:space="preserve"> PAGEREF _Toc129875204 \h </w:instrText>
        </w:r>
        <w:r w:rsidR="00272C7F">
          <w:rPr>
            <w:noProof/>
            <w:webHidden/>
          </w:rPr>
        </w:r>
        <w:r w:rsidR="00272C7F">
          <w:rPr>
            <w:noProof/>
            <w:webHidden/>
          </w:rPr>
          <w:fldChar w:fldCharType="separate"/>
        </w:r>
        <w:r w:rsidR="00272C7F">
          <w:rPr>
            <w:noProof/>
            <w:webHidden/>
          </w:rPr>
          <w:t>10</w:t>
        </w:r>
        <w:r w:rsidR="00272C7F">
          <w:rPr>
            <w:noProof/>
            <w:webHidden/>
          </w:rPr>
          <w:fldChar w:fldCharType="end"/>
        </w:r>
      </w:hyperlink>
    </w:p>
    <w:p w14:paraId="616DE61C" w14:textId="4CA9E828" w:rsidR="00272C7F" w:rsidRDefault="000F494F">
      <w:pPr>
        <w:pStyle w:val="Verzeichnis3"/>
        <w:tabs>
          <w:tab w:val="right" w:leader="dot" w:pos="9195"/>
        </w:tabs>
        <w:rPr>
          <w:rFonts w:asciiTheme="minorHAnsi" w:hAnsiTheme="minorHAnsi"/>
          <w:noProof/>
          <w:sz w:val="22"/>
          <w:szCs w:val="22"/>
          <w:lang w:eastAsia="de-DE"/>
        </w:rPr>
      </w:pPr>
      <w:hyperlink w:anchor="_Toc129875205" w:history="1">
        <w:r w:rsidR="00272C7F" w:rsidRPr="00A46037">
          <w:rPr>
            <w:rStyle w:val="Hyperlink"/>
            <w:noProof/>
          </w:rPr>
          <w:t>3.2.8</w:t>
        </w:r>
        <w:r w:rsidR="00272C7F">
          <w:rPr>
            <w:rFonts w:asciiTheme="minorHAnsi" w:hAnsiTheme="minorHAnsi"/>
            <w:noProof/>
            <w:sz w:val="22"/>
            <w:szCs w:val="22"/>
            <w:lang w:eastAsia="de-DE"/>
          </w:rPr>
          <w:tab/>
        </w:r>
        <w:r w:rsidR="00272C7F" w:rsidRPr="00A46037">
          <w:rPr>
            <w:rStyle w:val="Hyperlink"/>
            <w:noProof/>
          </w:rPr>
          <w:t>Cooling Efficiency Ratio (CER)</w:t>
        </w:r>
        <w:r w:rsidR="00272C7F">
          <w:rPr>
            <w:noProof/>
            <w:webHidden/>
          </w:rPr>
          <w:tab/>
        </w:r>
        <w:r w:rsidR="00272C7F">
          <w:rPr>
            <w:noProof/>
            <w:webHidden/>
          </w:rPr>
          <w:fldChar w:fldCharType="begin"/>
        </w:r>
        <w:r w:rsidR="00272C7F">
          <w:rPr>
            <w:noProof/>
            <w:webHidden/>
          </w:rPr>
          <w:instrText xml:space="preserve"> PAGEREF _Toc129875205 \h </w:instrText>
        </w:r>
        <w:r w:rsidR="00272C7F">
          <w:rPr>
            <w:noProof/>
            <w:webHidden/>
          </w:rPr>
        </w:r>
        <w:r w:rsidR="00272C7F">
          <w:rPr>
            <w:noProof/>
            <w:webHidden/>
          </w:rPr>
          <w:fldChar w:fldCharType="separate"/>
        </w:r>
        <w:r w:rsidR="00272C7F">
          <w:rPr>
            <w:noProof/>
            <w:webHidden/>
          </w:rPr>
          <w:t>12</w:t>
        </w:r>
        <w:r w:rsidR="00272C7F">
          <w:rPr>
            <w:noProof/>
            <w:webHidden/>
          </w:rPr>
          <w:fldChar w:fldCharType="end"/>
        </w:r>
      </w:hyperlink>
    </w:p>
    <w:p w14:paraId="5021A6F9" w14:textId="67D573E8" w:rsidR="00272C7F" w:rsidRDefault="000F494F">
      <w:pPr>
        <w:pStyle w:val="Verzeichnis3"/>
        <w:tabs>
          <w:tab w:val="right" w:leader="dot" w:pos="9195"/>
        </w:tabs>
        <w:rPr>
          <w:rFonts w:asciiTheme="minorHAnsi" w:hAnsiTheme="minorHAnsi"/>
          <w:noProof/>
          <w:sz w:val="22"/>
          <w:szCs w:val="22"/>
          <w:lang w:eastAsia="de-DE"/>
        </w:rPr>
      </w:pPr>
      <w:hyperlink w:anchor="_Toc129875206" w:history="1">
        <w:r w:rsidR="00272C7F" w:rsidRPr="00A46037">
          <w:rPr>
            <w:rStyle w:val="Hyperlink"/>
            <w:noProof/>
          </w:rPr>
          <w:t>3.2.9</w:t>
        </w:r>
        <w:r w:rsidR="00272C7F">
          <w:rPr>
            <w:rFonts w:asciiTheme="minorHAnsi" w:hAnsiTheme="minorHAnsi"/>
            <w:noProof/>
            <w:sz w:val="22"/>
            <w:szCs w:val="22"/>
            <w:lang w:eastAsia="de-DE"/>
          </w:rPr>
          <w:tab/>
        </w:r>
        <w:r w:rsidR="00272C7F" w:rsidRPr="00A46037">
          <w:rPr>
            <w:rStyle w:val="Hyperlink"/>
            <w:noProof/>
            <w:lang w:val="en-GB"/>
          </w:rPr>
          <w:t>Refrigerant</w:t>
        </w:r>
        <w:r w:rsidR="00272C7F">
          <w:rPr>
            <w:noProof/>
            <w:webHidden/>
          </w:rPr>
          <w:tab/>
        </w:r>
        <w:r w:rsidR="00272C7F">
          <w:rPr>
            <w:noProof/>
            <w:webHidden/>
          </w:rPr>
          <w:fldChar w:fldCharType="begin"/>
        </w:r>
        <w:r w:rsidR="00272C7F">
          <w:rPr>
            <w:noProof/>
            <w:webHidden/>
          </w:rPr>
          <w:instrText xml:space="preserve"> PAGEREF _Toc129875206 \h </w:instrText>
        </w:r>
        <w:r w:rsidR="00272C7F">
          <w:rPr>
            <w:noProof/>
            <w:webHidden/>
          </w:rPr>
        </w:r>
        <w:r w:rsidR="00272C7F">
          <w:rPr>
            <w:noProof/>
            <w:webHidden/>
          </w:rPr>
          <w:fldChar w:fldCharType="separate"/>
        </w:r>
        <w:r w:rsidR="00272C7F">
          <w:rPr>
            <w:noProof/>
            <w:webHidden/>
          </w:rPr>
          <w:t>14</w:t>
        </w:r>
        <w:r w:rsidR="00272C7F">
          <w:rPr>
            <w:noProof/>
            <w:webHidden/>
          </w:rPr>
          <w:fldChar w:fldCharType="end"/>
        </w:r>
      </w:hyperlink>
    </w:p>
    <w:p w14:paraId="360F8064" w14:textId="35871099" w:rsidR="00272C7F" w:rsidRDefault="000F494F">
      <w:pPr>
        <w:pStyle w:val="Verzeichnis3"/>
        <w:tabs>
          <w:tab w:val="right" w:leader="dot" w:pos="9195"/>
        </w:tabs>
        <w:rPr>
          <w:rFonts w:asciiTheme="minorHAnsi" w:hAnsiTheme="minorHAnsi"/>
          <w:noProof/>
          <w:sz w:val="22"/>
          <w:szCs w:val="22"/>
          <w:lang w:eastAsia="de-DE"/>
        </w:rPr>
      </w:pPr>
      <w:hyperlink w:anchor="_Toc129875207" w:history="1">
        <w:r w:rsidR="00272C7F" w:rsidRPr="00A46037">
          <w:rPr>
            <w:rStyle w:val="Hyperlink"/>
            <w:noProof/>
          </w:rPr>
          <w:t>3.2.10</w:t>
        </w:r>
        <w:r w:rsidR="00272C7F">
          <w:rPr>
            <w:rFonts w:asciiTheme="minorHAnsi" w:hAnsiTheme="minorHAnsi"/>
            <w:noProof/>
            <w:sz w:val="22"/>
            <w:szCs w:val="22"/>
            <w:lang w:eastAsia="de-DE"/>
          </w:rPr>
          <w:tab/>
        </w:r>
        <w:r w:rsidR="00272C7F" w:rsidRPr="00A46037">
          <w:rPr>
            <w:rStyle w:val="Hyperlink"/>
            <w:noProof/>
            <w:lang w:val="en-GB"/>
          </w:rPr>
          <w:t>Use of waste heat</w:t>
        </w:r>
        <w:r w:rsidR="00272C7F">
          <w:rPr>
            <w:noProof/>
            <w:webHidden/>
          </w:rPr>
          <w:tab/>
        </w:r>
        <w:r w:rsidR="00272C7F">
          <w:rPr>
            <w:noProof/>
            <w:webHidden/>
          </w:rPr>
          <w:fldChar w:fldCharType="begin"/>
        </w:r>
        <w:r w:rsidR="00272C7F">
          <w:rPr>
            <w:noProof/>
            <w:webHidden/>
          </w:rPr>
          <w:instrText xml:space="preserve"> PAGEREF _Toc129875207 \h </w:instrText>
        </w:r>
        <w:r w:rsidR="00272C7F">
          <w:rPr>
            <w:noProof/>
            <w:webHidden/>
          </w:rPr>
        </w:r>
        <w:r w:rsidR="00272C7F">
          <w:rPr>
            <w:noProof/>
            <w:webHidden/>
          </w:rPr>
          <w:fldChar w:fldCharType="separate"/>
        </w:r>
        <w:r w:rsidR="00272C7F">
          <w:rPr>
            <w:noProof/>
            <w:webHidden/>
          </w:rPr>
          <w:t>14</w:t>
        </w:r>
        <w:r w:rsidR="00272C7F">
          <w:rPr>
            <w:noProof/>
            <w:webHidden/>
          </w:rPr>
          <w:fldChar w:fldCharType="end"/>
        </w:r>
      </w:hyperlink>
    </w:p>
    <w:p w14:paraId="0BBD3F51" w14:textId="4256CF16" w:rsidR="00272C7F" w:rsidRDefault="000F494F">
      <w:pPr>
        <w:pStyle w:val="Verzeichnis3"/>
        <w:tabs>
          <w:tab w:val="right" w:leader="dot" w:pos="9195"/>
        </w:tabs>
        <w:rPr>
          <w:rFonts w:asciiTheme="minorHAnsi" w:hAnsiTheme="minorHAnsi"/>
          <w:noProof/>
          <w:sz w:val="22"/>
          <w:szCs w:val="22"/>
          <w:lang w:eastAsia="de-DE"/>
        </w:rPr>
      </w:pPr>
      <w:hyperlink w:anchor="_Toc129875208" w:history="1">
        <w:r w:rsidR="00272C7F" w:rsidRPr="00A46037">
          <w:rPr>
            <w:rStyle w:val="Hyperlink"/>
            <w:noProof/>
          </w:rPr>
          <w:t>3.2.11</w:t>
        </w:r>
        <w:r w:rsidR="00272C7F">
          <w:rPr>
            <w:rFonts w:asciiTheme="minorHAnsi" w:hAnsiTheme="minorHAnsi"/>
            <w:noProof/>
            <w:sz w:val="22"/>
            <w:szCs w:val="22"/>
            <w:lang w:eastAsia="de-DE"/>
          </w:rPr>
          <w:tab/>
        </w:r>
        <w:r w:rsidR="00272C7F" w:rsidRPr="00A46037">
          <w:rPr>
            <w:rStyle w:val="Hyperlink"/>
            <w:noProof/>
            <w:lang w:val="en-GB"/>
          </w:rPr>
          <w:t>Electrical switching systems</w:t>
        </w:r>
        <w:r w:rsidR="00272C7F">
          <w:rPr>
            <w:noProof/>
            <w:webHidden/>
          </w:rPr>
          <w:tab/>
        </w:r>
        <w:r w:rsidR="00272C7F">
          <w:rPr>
            <w:noProof/>
            <w:webHidden/>
          </w:rPr>
          <w:fldChar w:fldCharType="begin"/>
        </w:r>
        <w:r w:rsidR="00272C7F">
          <w:rPr>
            <w:noProof/>
            <w:webHidden/>
          </w:rPr>
          <w:instrText xml:space="preserve"> PAGEREF _Toc129875208 \h </w:instrText>
        </w:r>
        <w:r w:rsidR="00272C7F">
          <w:rPr>
            <w:noProof/>
            <w:webHidden/>
          </w:rPr>
        </w:r>
        <w:r w:rsidR="00272C7F">
          <w:rPr>
            <w:noProof/>
            <w:webHidden/>
          </w:rPr>
          <w:fldChar w:fldCharType="separate"/>
        </w:r>
        <w:r w:rsidR="00272C7F">
          <w:rPr>
            <w:noProof/>
            <w:webHidden/>
          </w:rPr>
          <w:t>15</w:t>
        </w:r>
        <w:r w:rsidR="00272C7F">
          <w:rPr>
            <w:noProof/>
            <w:webHidden/>
          </w:rPr>
          <w:fldChar w:fldCharType="end"/>
        </w:r>
      </w:hyperlink>
    </w:p>
    <w:p w14:paraId="7632C8BC" w14:textId="1EFD19F2" w:rsidR="00272C7F" w:rsidRDefault="000F494F">
      <w:pPr>
        <w:pStyle w:val="Verzeichnis3"/>
        <w:tabs>
          <w:tab w:val="right" w:leader="dot" w:pos="9195"/>
        </w:tabs>
        <w:rPr>
          <w:rFonts w:asciiTheme="minorHAnsi" w:hAnsiTheme="minorHAnsi"/>
          <w:noProof/>
          <w:sz w:val="22"/>
          <w:szCs w:val="22"/>
          <w:lang w:eastAsia="de-DE"/>
        </w:rPr>
      </w:pPr>
      <w:hyperlink w:anchor="_Toc129875209" w:history="1">
        <w:r w:rsidR="00272C7F" w:rsidRPr="00A46037">
          <w:rPr>
            <w:rStyle w:val="Hyperlink"/>
            <w:noProof/>
          </w:rPr>
          <w:t>3.2.12</w:t>
        </w:r>
        <w:r w:rsidR="00272C7F">
          <w:rPr>
            <w:rFonts w:asciiTheme="minorHAnsi" w:hAnsiTheme="minorHAnsi"/>
            <w:noProof/>
            <w:sz w:val="22"/>
            <w:szCs w:val="22"/>
            <w:lang w:eastAsia="de-DE"/>
          </w:rPr>
          <w:tab/>
        </w:r>
        <w:r w:rsidR="00272C7F" w:rsidRPr="00A46037">
          <w:rPr>
            <w:rStyle w:val="Hyperlink"/>
            <w:noProof/>
            <w:lang w:val="en-GB"/>
          </w:rPr>
          <w:t>Efficient use of floor space</w:t>
        </w:r>
        <w:r w:rsidR="00272C7F">
          <w:rPr>
            <w:noProof/>
            <w:webHidden/>
          </w:rPr>
          <w:tab/>
        </w:r>
        <w:r w:rsidR="00272C7F">
          <w:rPr>
            <w:noProof/>
            <w:webHidden/>
          </w:rPr>
          <w:fldChar w:fldCharType="begin"/>
        </w:r>
        <w:r w:rsidR="00272C7F">
          <w:rPr>
            <w:noProof/>
            <w:webHidden/>
          </w:rPr>
          <w:instrText xml:space="preserve"> PAGEREF _Toc129875209 \h </w:instrText>
        </w:r>
        <w:r w:rsidR="00272C7F">
          <w:rPr>
            <w:noProof/>
            <w:webHidden/>
          </w:rPr>
        </w:r>
        <w:r w:rsidR="00272C7F">
          <w:rPr>
            <w:noProof/>
            <w:webHidden/>
          </w:rPr>
          <w:fldChar w:fldCharType="separate"/>
        </w:r>
        <w:r w:rsidR="00272C7F">
          <w:rPr>
            <w:noProof/>
            <w:webHidden/>
          </w:rPr>
          <w:t>15</w:t>
        </w:r>
        <w:r w:rsidR="00272C7F">
          <w:rPr>
            <w:noProof/>
            <w:webHidden/>
          </w:rPr>
          <w:fldChar w:fldCharType="end"/>
        </w:r>
      </w:hyperlink>
    </w:p>
    <w:p w14:paraId="154BCAFC" w14:textId="0F67DA96" w:rsidR="00272C7F" w:rsidRDefault="000F494F">
      <w:pPr>
        <w:pStyle w:val="Verzeichnis3"/>
        <w:tabs>
          <w:tab w:val="right" w:leader="dot" w:pos="9195"/>
        </w:tabs>
        <w:rPr>
          <w:rFonts w:asciiTheme="minorHAnsi" w:hAnsiTheme="minorHAnsi"/>
          <w:noProof/>
          <w:sz w:val="22"/>
          <w:szCs w:val="22"/>
          <w:lang w:eastAsia="de-DE"/>
        </w:rPr>
      </w:pPr>
      <w:hyperlink w:anchor="_Toc129875210" w:history="1">
        <w:r w:rsidR="00272C7F" w:rsidRPr="00A46037">
          <w:rPr>
            <w:rStyle w:val="Hyperlink"/>
            <w:noProof/>
          </w:rPr>
          <w:t>3.2.13</w:t>
        </w:r>
        <w:r w:rsidR="00272C7F">
          <w:rPr>
            <w:rFonts w:asciiTheme="minorHAnsi" w:hAnsiTheme="minorHAnsi"/>
            <w:noProof/>
            <w:sz w:val="22"/>
            <w:szCs w:val="22"/>
            <w:lang w:eastAsia="de-DE"/>
          </w:rPr>
          <w:tab/>
        </w:r>
        <w:r w:rsidR="00272C7F" w:rsidRPr="00A46037">
          <w:rPr>
            <w:rStyle w:val="Hyperlink"/>
            <w:noProof/>
            <w:lang w:val="en-GB"/>
          </w:rPr>
          <w:t>New acquisitions during the term of the contract</w:t>
        </w:r>
        <w:r w:rsidR="00272C7F">
          <w:rPr>
            <w:noProof/>
            <w:webHidden/>
          </w:rPr>
          <w:tab/>
        </w:r>
        <w:r w:rsidR="00272C7F">
          <w:rPr>
            <w:noProof/>
            <w:webHidden/>
          </w:rPr>
          <w:fldChar w:fldCharType="begin"/>
        </w:r>
        <w:r w:rsidR="00272C7F">
          <w:rPr>
            <w:noProof/>
            <w:webHidden/>
          </w:rPr>
          <w:instrText xml:space="preserve"> PAGEREF _Toc129875210 \h </w:instrText>
        </w:r>
        <w:r w:rsidR="00272C7F">
          <w:rPr>
            <w:noProof/>
            <w:webHidden/>
          </w:rPr>
        </w:r>
        <w:r w:rsidR="00272C7F">
          <w:rPr>
            <w:noProof/>
            <w:webHidden/>
          </w:rPr>
          <w:fldChar w:fldCharType="separate"/>
        </w:r>
        <w:r w:rsidR="00272C7F">
          <w:rPr>
            <w:noProof/>
            <w:webHidden/>
          </w:rPr>
          <w:t>16</w:t>
        </w:r>
        <w:r w:rsidR="00272C7F">
          <w:rPr>
            <w:noProof/>
            <w:webHidden/>
          </w:rPr>
          <w:fldChar w:fldCharType="end"/>
        </w:r>
      </w:hyperlink>
    </w:p>
    <w:p w14:paraId="17B6F499" w14:textId="36AC950E" w:rsidR="00272C7F" w:rsidRDefault="000F494F">
      <w:pPr>
        <w:pStyle w:val="Verzeichnis2"/>
        <w:tabs>
          <w:tab w:val="right" w:leader="dot" w:pos="9195"/>
        </w:tabs>
        <w:rPr>
          <w:rFonts w:asciiTheme="minorHAnsi" w:hAnsiTheme="minorHAnsi"/>
          <w:noProof/>
          <w:sz w:val="22"/>
          <w:szCs w:val="22"/>
          <w:lang w:eastAsia="de-DE"/>
        </w:rPr>
      </w:pPr>
      <w:hyperlink w:anchor="_Toc129875211" w:history="1">
        <w:r w:rsidR="00272C7F" w:rsidRPr="00A46037">
          <w:rPr>
            <w:rStyle w:val="Hyperlink"/>
            <w:noProof/>
          </w:rPr>
          <w:t>3.3</w:t>
        </w:r>
        <w:r w:rsidR="00272C7F">
          <w:rPr>
            <w:rFonts w:asciiTheme="minorHAnsi" w:hAnsiTheme="minorHAnsi"/>
            <w:noProof/>
            <w:sz w:val="22"/>
            <w:szCs w:val="22"/>
            <w:lang w:eastAsia="de-DE"/>
          </w:rPr>
          <w:tab/>
        </w:r>
        <w:r w:rsidR="00272C7F" w:rsidRPr="00A46037">
          <w:rPr>
            <w:rStyle w:val="Hyperlink"/>
            <w:noProof/>
            <w:lang w:val="en-GB"/>
          </w:rPr>
          <w:t>Requirements for IT operators</w:t>
        </w:r>
        <w:r w:rsidR="00272C7F">
          <w:rPr>
            <w:noProof/>
            <w:webHidden/>
          </w:rPr>
          <w:tab/>
        </w:r>
        <w:r w:rsidR="00272C7F">
          <w:rPr>
            <w:noProof/>
            <w:webHidden/>
          </w:rPr>
          <w:fldChar w:fldCharType="begin"/>
        </w:r>
        <w:r w:rsidR="00272C7F">
          <w:rPr>
            <w:noProof/>
            <w:webHidden/>
          </w:rPr>
          <w:instrText xml:space="preserve"> PAGEREF _Toc129875211 \h </w:instrText>
        </w:r>
        <w:r w:rsidR="00272C7F">
          <w:rPr>
            <w:noProof/>
            <w:webHidden/>
          </w:rPr>
        </w:r>
        <w:r w:rsidR="00272C7F">
          <w:rPr>
            <w:noProof/>
            <w:webHidden/>
          </w:rPr>
          <w:fldChar w:fldCharType="separate"/>
        </w:r>
        <w:r w:rsidR="00272C7F">
          <w:rPr>
            <w:noProof/>
            <w:webHidden/>
          </w:rPr>
          <w:t>16</w:t>
        </w:r>
        <w:r w:rsidR="00272C7F">
          <w:rPr>
            <w:noProof/>
            <w:webHidden/>
          </w:rPr>
          <w:fldChar w:fldCharType="end"/>
        </w:r>
      </w:hyperlink>
    </w:p>
    <w:p w14:paraId="60D25D42" w14:textId="2B512348" w:rsidR="00272C7F" w:rsidRDefault="000F494F">
      <w:pPr>
        <w:pStyle w:val="Verzeichnis3"/>
        <w:tabs>
          <w:tab w:val="right" w:leader="dot" w:pos="9195"/>
        </w:tabs>
        <w:rPr>
          <w:rFonts w:asciiTheme="minorHAnsi" w:hAnsiTheme="minorHAnsi"/>
          <w:noProof/>
          <w:sz w:val="22"/>
          <w:szCs w:val="22"/>
          <w:lang w:eastAsia="de-DE"/>
        </w:rPr>
      </w:pPr>
      <w:hyperlink w:anchor="_Toc129875212" w:history="1">
        <w:r w:rsidR="00272C7F" w:rsidRPr="00A46037">
          <w:rPr>
            <w:rStyle w:val="Hyperlink"/>
            <w:noProof/>
          </w:rPr>
          <w:t>3.3.1</w:t>
        </w:r>
        <w:r w:rsidR="00272C7F">
          <w:rPr>
            <w:rFonts w:asciiTheme="minorHAnsi" w:hAnsiTheme="minorHAnsi"/>
            <w:noProof/>
            <w:sz w:val="22"/>
            <w:szCs w:val="22"/>
            <w:lang w:eastAsia="de-DE"/>
          </w:rPr>
          <w:tab/>
        </w:r>
        <w:r w:rsidR="00272C7F" w:rsidRPr="00A46037">
          <w:rPr>
            <w:rStyle w:val="Hyperlink"/>
            <w:noProof/>
            <w:lang w:val="en-GB"/>
          </w:rPr>
          <w:t>IT inventory list</w:t>
        </w:r>
        <w:r w:rsidR="00272C7F">
          <w:rPr>
            <w:noProof/>
            <w:webHidden/>
          </w:rPr>
          <w:tab/>
        </w:r>
        <w:r w:rsidR="00272C7F">
          <w:rPr>
            <w:noProof/>
            <w:webHidden/>
          </w:rPr>
          <w:fldChar w:fldCharType="begin"/>
        </w:r>
        <w:r w:rsidR="00272C7F">
          <w:rPr>
            <w:noProof/>
            <w:webHidden/>
          </w:rPr>
          <w:instrText xml:space="preserve"> PAGEREF _Toc129875212 \h </w:instrText>
        </w:r>
        <w:r w:rsidR="00272C7F">
          <w:rPr>
            <w:noProof/>
            <w:webHidden/>
          </w:rPr>
        </w:r>
        <w:r w:rsidR="00272C7F">
          <w:rPr>
            <w:noProof/>
            <w:webHidden/>
          </w:rPr>
          <w:fldChar w:fldCharType="separate"/>
        </w:r>
        <w:r w:rsidR="00272C7F">
          <w:rPr>
            <w:noProof/>
            <w:webHidden/>
          </w:rPr>
          <w:t>16</w:t>
        </w:r>
        <w:r w:rsidR="00272C7F">
          <w:rPr>
            <w:noProof/>
            <w:webHidden/>
          </w:rPr>
          <w:fldChar w:fldCharType="end"/>
        </w:r>
      </w:hyperlink>
    </w:p>
    <w:p w14:paraId="0150985A" w14:textId="6ED4CEF7" w:rsidR="00272C7F" w:rsidRDefault="000F494F">
      <w:pPr>
        <w:pStyle w:val="Verzeichnis3"/>
        <w:tabs>
          <w:tab w:val="right" w:leader="dot" w:pos="9195"/>
        </w:tabs>
        <w:rPr>
          <w:rFonts w:asciiTheme="minorHAnsi" w:hAnsiTheme="minorHAnsi"/>
          <w:noProof/>
          <w:sz w:val="22"/>
          <w:szCs w:val="22"/>
          <w:lang w:eastAsia="de-DE"/>
        </w:rPr>
      </w:pPr>
      <w:hyperlink w:anchor="_Toc129875213" w:history="1">
        <w:r w:rsidR="00272C7F" w:rsidRPr="00A46037">
          <w:rPr>
            <w:rStyle w:val="Hyperlink"/>
            <w:noProof/>
          </w:rPr>
          <w:t>3.3.2</w:t>
        </w:r>
        <w:r w:rsidR="00272C7F">
          <w:rPr>
            <w:rFonts w:asciiTheme="minorHAnsi" w:hAnsiTheme="minorHAnsi"/>
            <w:noProof/>
            <w:sz w:val="22"/>
            <w:szCs w:val="22"/>
            <w:lang w:eastAsia="de-DE"/>
          </w:rPr>
          <w:tab/>
        </w:r>
        <w:r w:rsidR="00272C7F" w:rsidRPr="00A46037">
          <w:rPr>
            <w:rStyle w:val="Hyperlink"/>
            <w:noProof/>
            <w:lang w:val="en-GB"/>
          </w:rPr>
          <w:t>Monitoring the IT load</w:t>
        </w:r>
        <w:r w:rsidR="00272C7F">
          <w:rPr>
            <w:noProof/>
            <w:webHidden/>
          </w:rPr>
          <w:tab/>
        </w:r>
        <w:r w:rsidR="00272C7F">
          <w:rPr>
            <w:noProof/>
            <w:webHidden/>
          </w:rPr>
          <w:fldChar w:fldCharType="begin"/>
        </w:r>
        <w:r w:rsidR="00272C7F">
          <w:rPr>
            <w:noProof/>
            <w:webHidden/>
          </w:rPr>
          <w:instrText xml:space="preserve"> PAGEREF _Toc129875213 \h </w:instrText>
        </w:r>
        <w:r w:rsidR="00272C7F">
          <w:rPr>
            <w:noProof/>
            <w:webHidden/>
          </w:rPr>
        </w:r>
        <w:r w:rsidR="00272C7F">
          <w:rPr>
            <w:noProof/>
            <w:webHidden/>
          </w:rPr>
          <w:fldChar w:fldCharType="separate"/>
        </w:r>
        <w:r w:rsidR="00272C7F">
          <w:rPr>
            <w:noProof/>
            <w:webHidden/>
          </w:rPr>
          <w:t>17</w:t>
        </w:r>
        <w:r w:rsidR="00272C7F">
          <w:rPr>
            <w:noProof/>
            <w:webHidden/>
          </w:rPr>
          <w:fldChar w:fldCharType="end"/>
        </w:r>
      </w:hyperlink>
    </w:p>
    <w:p w14:paraId="0BF17357" w14:textId="71509E8C" w:rsidR="00272C7F" w:rsidRDefault="000F494F">
      <w:pPr>
        <w:pStyle w:val="Verzeichnis3"/>
        <w:tabs>
          <w:tab w:val="right" w:leader="dot" w:pos="9195"/>
        </w:tabs>
        <w:rPr>
          <w:rFonts w:asciiTheme="minorHAnsi" w:hAnsiTheme="minorHAnsi"/>
          <w:noProof/>
          <w:sz w:val="22"/>
          <w:szCs w:val="22"/>
          <w:lang w:eastAsia="de-DE"/>
        </w:rPr>
      </w:pPr>
      <w:hyperlink w:anchor="_Toc129875214" w:history="1">
        <w:r w:rsidR="00272C7F" w:rsidRPr="00A46037">
          <w:rPr>
            <w:rStyle w:val="Hyperlink"/>
            <w:noProof/>
          </w:rPr>
          <w:t>3.3.3</w:t>
        </w:r>
        <w:r w:rsidR="00272C7F">
          <w:rPr>
            <w:rFonts w:asciiTheme="minorHAnsi" w:hAnsiTheme="minorHAnsi"/>
            <w:noProof/>
            <w:sz w:val="22"/>
            <w:szCs w:val="22"/>
            <w:lang w:eastAsia="de-DE"/>
          </w:rPr>
          <w:tab/>
        </w:r>
        <w:r w:rsidR="00272C7F" w:rsidRPr="00A46037">
          <w:rPr>
            <w:rStyle w:val="Hyperlink"/>
            <w:noProof/>
            <w:lang w:val="en-GB"/>
          </w:rPr>
          <w:t>Minimum utilisation of the servers</w:t>
        </w:r>
        <w:r w:rsidR="00272C7F">
          <w:rPr>
            <w:noProof/>
            <w:webHidden/>
          </w:rPr>
          <w:tab/>
        </w:r>
        <w:r w:rsidR="00272C7F">
          <w:rPr>
            <w:noProof/>
            <w:webHidden/>
          </w:rPr>
          <w:fldChar w:fldCharType="begin"/>
        </w:r>
        <w:r w:rsidR="00272C7F">
          <w:rPr>
            <w:noProof/>
            <w:webHidden/>
          </w:rPr>
          <w:instrText xml:space="preserve"> PAGEREF _Toc129875214 \h </w:instrText>
        </w:r>
        <w:r w:rsidR="00272C7F">
          <w:rPr>
            <w:noProof/>
            <w:webHidden/>
          </w:rPr>
        </w:r>
        <w:r w:rsidR="00272C7F">
          <w:rPr>
            <w:noProof/>
            <w:webHidden/>
          </w:rPr>
          <w:fldChar w:fldCharType="separate"/>
        </w:r>
        <w:r w:rsidR="00272C7F">
          <w:rPr>
            <w:noProof/>
            <w:webHidden/>
          </w:rPr>
          <w:t>17</w:t>
        </w:r>
        <w:r w:rsidR="00272C7F">
          <w:rPr>
            <w:noProof/>
            <w:webHidden/>
          </w:rPr>
          <w:fldChar w:fldCharType="end"/>
        </w:r>
      </w:hyperlink>
    </w:p>
    <w:p w14:paraId="48E27E63" w14:textId="47FBDFDA" w:rsidR="00272C7F" w:rsidRDefault="000F494F">
      <w:pPr>
        <w:pStyle w:val="Verzeichnis3"/>
        <w:tabs>
          <w:tab w:val="right" w:leader="dot" w:pos="9195"/>
        </w:tabs>
        <w:rPr>
          <w:rFonts w:asciiTheme="minorHAnsi" w:hAnsiTheme="minorHAnsi"/>
          <w:noProof/>
          <w:sz w:val="22"/>
          <w:szCs w:val="22"/>
          <w:lang w:eastAsia="de-DE"/>
        </w:rPr>
      </w:pPr>
      <w:hyperlink w:anchor="_Toc129875215" w:history="1">
        <w:r w:rsidR="00272C7F" w:rsidRPr="00A46037">
          <w:rPr>
            <w:rStyle w:val="Hyperlink"/>
            <w:noProof/>
          </w:rPr>
          <w:t>3.3.4</w:t>
        </w:r>
        <w:r w:rsidR="00272C7F">
          <w:rPr>
            <w:rFonts w:asciiTheme="minorHAnsi" w:hAnsiTheme="minorHAnsi"/>
            <w:noProof/>
            <w:sz w:val="22"/>
            <w:szCs w:val="22"/>
            <w:lang w:eastAsia="de-DE"/>
          </w:rPr>
          <w:tab/>
        </w:r>
        <w:r w:rsidR="00272C7F" w:rsidRPr="00A46037">
          <w:rPr>
            <w:rStyle w:val="Hyperlink"/>
            <w:noProof/>
          </w:rPr>
          <w:t>Reuse-Management</w:t>
        </w:r>
        <w:r w:rsidR="00272C7F">
          <w:rPr>
            <w:noProof/>
            <w:webHidden/>
          </w:rPr>
          <w:tab/>
        </w:r>
        <w:r w:rsidR="00272C7F">
          <w:rPr>
            <w:noProof/>
            <w:webHidden/>
          </w:rPr>
          <w:fldChar w:fldCharType="begin"/>
        </w:r>
        <w:r w:rsidR="00272C7F">
          <w:rPr>
            <w:noProof/>
            <w:webHidden/>
          </w:rPr>
          <w:instrText xml:space="preserve"> PAGEREF _Toc129875215 \h </w:instrText>
        </w:r>
        <w:r w:rsidR="00272C7F">
          <w:rPr>
            <w:noProof/>
            <w:webHidden/>
          </w:rPr>
        </w:r>
        <w:r w:rsidR="00272C7F">
          <w:rPr>
            <w:noProof/>
            <w:webHidden/>
          </w:rPr>
          <w:fldChar w:fldCharType="separate"/>
        </w:r>
        <w:r w:rsidR="00272C7F">
          <w:rPr>
            <w:noProof/>
            <w:webHidden/>
          </w:rPr>
          <w:t>18</w:t>
        </w:r>
        <w:r w:rsidR="00272C7F">
          <w:rPr>
            <w:noProof/>
            <w:webHidden/>
          </w:rPr>
          <w:fldChar w:fldCharType="end"/>
        </w:r>
      </w:hyperlink>
    </w:p>
    <w:p w14:paraId="341780A2" w14:textId="65562CEA" w:rsidR="00272C7F" w:rsidRDefault="000F494F">
      <w:pPr>
        <w:pStyle w:val="Verzeichnis1"/>
        <w:rPr>
          <w:rFonts w:asciiTheme="minorHAnsi" w:hAnsiTheme="minorHAnsi"/>
          <w:noProof/>
          <w:sz w:val="22"/>
          <w:szCs w:val="22"/>
          <w:lang w:eastAsia="de-DE"/>
        </w:rPr>
      </w:pPr>
      <w:hyperlink w:anchor="_Toc129875216" w:history="1">
        <w:r w:rsidR="00272C7F" w:rsidRPr="00A46037">
          <w:rPr>
            <w:rStyle w:val="Hyperlink"/>
            <w:noProof/>
          </w:rPr>
          <w:t>4</w:t>
        </w:r>
        <w:r w:rsidR="00272C7F">
          <w:rPr>
            <w:rFonts w:asciiTheme="minorHAnsi" w:hAnsiTheme="minorHAnsi"/>
            <w:noProof/>
            <w:sz w:val="22"/>
            <w:szCs w:val="22"/>
            <w:lang w:eastAsia="de-DE"/>
          </w:rPr>
          <w:tab/>
        </w:r>
        <w:r w:rsidR="00272C7F" w:rsidRPr="00A46037">
          <w:rPr>
            <w:rStyle w:val="Hyperlink"/>
            <w:noProof/>
            <w:lang w:val="en-GB"/>
          </w:rPr>
          <w:t>Overview of the annexes to the contract</w:t>
        </w:r>
        <w:r w:rsidR="00272C7F">
          <w:rPr>
            <w:noProof/>
            <w:webHidden/>
          </w:rPr>
          <w:tab/>
        </w:r>
        <w:r w:rsidR="00272C7F">
          <w:rPr>
            <w:noProof/>
            <w:webHidden/>
          </w:rPr>
          <w:fldChar w:fldCharType="begin"/>
        </w:r>
        <w:r w:rsidR="00272C7F">
          <w:rPr>
            <w:noProof/>
            <w:webHidden/>
          </w:rPr>
          <w:instrText xml:space="preserve"> PAGEREF _Toc129875216 \h </w:instrText>
        </w:r>
        <w:r w:rsidR="00272C7F">
          <w:rPr>
            <w:noProof/>
            <w:webHidden/>
          </w:rPr>
        </w:r>
        <w:r w:rsidR="00272C7F">
          <w:rPr>
            <w:noProof/>
            <w:webHidden/>
          </w:rPr>
          <w:fldChar w:fldCharType="separate"/>
        </w:r>
        <w:r w:rsidR="00272C7F">
          <w:rPr>
            <w:noProof/>
            <w:webHidden/>
          </w:rPr>
          <w:t>19</w:t>
        </w:r>
        <w:r w:rsidR="00272C7F">
          <w:rPr>
            <w:noProof/>
            <w:webHidden/>
          </w:rPr>
          <w:fldChar w:fldCharType="end"/>
        </w:r>
      </w:hyperlink>
    </w:p>
    <w:p w14:paraId="04AE8EC9" w14:textId="0CB1FCAE" w:rsidR="00272C7F" w:rsidRDefault="000F494F">
      <w:pPr>
        <w:pStyle w:val="Verzeichnis1"/>
        <w:rPr>
          <w:rFonts w:asciiTheme="minorHAnsi" w:hAnsiTheme="minorHAnsi"/>
          <w:noProof/>
          <w:sz w:val="22"/>
          <w:szCs w:val="22"/>
          <w:lang w:eastAsia="de-DE"/>
        </w:rPr>
      </w:pPr>
      <w:hyperlink w:anchor="_Toc129875217" w:history="1">
        <w:r w:rsidR="00272C7F" w:rsidRPr="00A46037">
          <w:rPr>
            <w:rStyle w:val="Hyperlink"/>
            <w:noProof/>
          </w:rPr>
          <w:t>5</w:t>
        </w:r>
        <w:r w:rsidR="00272C7F">
          <w:rPr>
            <w:rFonts w:asciiTheme="minorHAnsi" w:hAnsiTheme="minorHAnsi"/>
            <w:noProof/>
            <w:sz w:val="22"/>
            <w:szCs w:val="22"/>
            <w:lang w:eastAsia="de-DE"/>
          </w:rPr>
          <w:tab/>
        </w:r>
        <w:r w:rsidR="00272C7F" w:rsidRPr="00A46037">
          <w:rPr>
            <w:rStyle w:val="Hyperlink"/>
            <w:noProof/>
          </w:rPr>
          <w:t>Abkürungsverzeichnis</w:t>
        </w:r>
        <w:r w:rsidR="00272C7F">
          <w:rPr>
            <w:noProof/>
            <w:webHidden/>
          </w:rPr>
          <w:tab/>
        </w:r>
        <w:r w:rsidR="00272C7F">
          <w:rPr>
            <w:noProof/>
            <w:webHidden/>
          </w:rPr>
          <w:fldChar w:fldCharType="begin"/>
        </w:r>
        <w:r w:rsidR="00272C7F">
          <w:rPr>
            <w:noProof/>
            <w:webHidden/>
          </w:rPr>
          <w:instrText xml:space="preserve"> PAGEREF _Toc129875217 \h </w:instrText>
        </w:r>
        <w:r w:rsidR="00272C7F">
          <w:rPr>
            <w:noProof/>
            <w:webHidden/>
          </w:rPr>
        </w:r>
        <w:r w:rsidR="00272C7F">
          <w:rPr>
            <w:noProof/>
            <w:webHidden/>
          </w:rPr>
          <w:fldChar w:fldCharType="separate"/>
        </w:r>
        <w:r w:rsidR="00272C7F">
          <w:rPr>
            <w:noProof/>
            <w:webHidden/>
          </w:rPr>
          <w:t>21</w:t>
        </w:r>
        <w:r w:rsidR="00272C7F">
          <w:rPr>
            <w:noProof/>
            <w:webHidden/>
          </w:rPr>
          <w:fldChar w:fldCharType="end"/>
        </w:r>
      </w:hyperlink>
    </w:p>
    <w:p w14:paraId="46A56459" w14:textId="101930F1" w:rsidR="00CF6869" w:rsidRPr="001806FC" w:rsidRDefault="006C2A82" w:rsidP="00CF6869">
      <w:r>
        <w:rPr>
          <w:rFonts w:ascii="ArialMT" w:hAnsi="ArialMT" w:cs="ArialMT"/>
          <w:b/>
          <w:bCs/>
          <w:noProof/>
          <w:sz w:val="26"/>
          <w:szCs w:val="26"/>
          <w:lang w:bidi="de-DE"/>
        </w:rPr>
        <w:fldChar w:fldCharType="end"/>
      </w:r>
    </w:p>
    <w:p w14:paraId="520783DF" w14:textId="77777777" w:rsidR="000F6653" w:rsidRPr="001806FC" w:rsidRDefault="000F6653" w:rsidP="008964C3">
      <w:pPr>
        <w:pStyle w:val="b1"/>
        <w:rPr>
          <w:lang w:bidi="de-DE"/>
        </w:rPr>
        <w:sectPr w:rsidR="000F6653" w:rsidRPr="001806FC" w:rsidSect="00066B2B">
          <w:headerReference w:type="default" r:id="rId25"/>
          <w:footerReference w:type="default" r:id="rId26"/>
          <w:pgSz w:w="11899" w:h="16840"/>
          <w:pgMar w:top="1418" w:right="1276" w:bottom="1418" w:left="1418" w:header="567" w:footer="709" w:gutter="0"/>
          <w:pgNumType w:start="2"/>
          <w:cols w:space="708"/>
          <w:docGrid w:linePitch="299"/>
        </w:sectPr>
      </w:pPr>
    </w:p>
    <w:p w14:paraId="055ADE2D" w14:textId="1DC896DD" w:rsidR="004E1CC4" w:rsidRPr="001806FC" w:rsidRDefault="00A74DB8" w:rsidP="008964C3">
      <w:pPr>
        <w:pStyle w:val="b1"/>
      </w:pPr>
      <w:bookmarkStart w:id="2" w:name="_Toc399239514"/>
      <w:bookmarkStart w:id="3" w:name="_Ref112664362"/>
      <w:bookmarkStart w:id="4" w:name="_Ref116294991"/>
      <w:bookmarkStart w:id="5" w:name="_Toc129875188"/>
      <w:bookmarkStart w:id="6" w:name="_Toc297887277"/>
      <w:r w:rsidRPr="007F75F6">
        <w:rPr>
          <w:lang w:val="en-GB"/>
        </w:rPr>
        <w:lastRenderedPageBreak/>
        <w:t>Introduction</w:t>
      </w:r>
      <w:bookmarkEnd w:id="2"/>
      <w:bookmarkEnd w:id="3"/>
      <w:bookmarkEnd w:id="4"/>
      <w:bookmarkEnd w:id="5"/>
    </w:p>
    <w:p w14:paraId="58D93DBE" w14:textId="77777777" w:rsidR="00A74DB8" w:rsidRPr="007F75F6" w:rsidRDefault="00A74DB8" w:rsidP="00A74DB8">
      <w:pPr>
        <w:rPr>
          <w:lang w:val="en-GB"/>
        </w:rPr>
      </w:pPr>
      <w:r w:rsidRPr="007F75F6">
        <w:rPr>
          <w:lang w:val="en-GB"/>
        </w:rPr>
        <w:t xml:space="preserve">This Energy Efficiency Report is submitted at the time of application for the Blue Angel ecolabel for data </w:t>
      </w:r>
      <w:proofErr w:type="spellStart"/>
      <w:r w:rsidRPr="007F75F6">
        <w:rPr>
          <w:lang w:val="en-GB"/>
        </w:rPr>
        <w:t>centers</w:t>
      </w:r>
      <w:proofErr w:type="spellEnd"/>
      <w:r w:rsidRPr="007F75F6">
        <w:rPr>
          <w:lang w:val="en-GB"/>
        </w:rPr>
        <w:t xml:space="preserve"> (DE-UZ 228) (see Paragraph 3.1.2 of the Basic Award Criteria). This template document, which defines the structure of the Energy Efficiency Report, is enclosed with the Basic Award Criteria for DE-UZ 228 as Annex 2. </w:t>
      </w:r>
    </w:p>
    <w:p w14:paraId="21227B57" w14:textId="77777777" w:rsidR="00A74DB8" w:rsidRPr="007F75F6" w:rsidRDefault="00A74DB8" w:rsidP="00A74DB8">
      <w:pPr>
        <w:rPr>
          <w:lang w:val="en-GB"/>
        </w:rPr>
      </w:pPr>
      <w:r w:rsidRPr="007F75F6">
        <w:rPr>
          <w:lang w:val="en-GB"/>
        </w:rPr>
        <w:t xml:space="preserve">The Energy Efficiency Report must be examined by an independent auditor to confirm compliance with the requirements. RAL </w:t>
      </w:r>
      <w:proofErr w:type="spellStart"/>
      <w:r w:rsidRPr="007F75F6">
        <w:rPr>
          <w:lang w:val="en-GB"/>
        </w:rPr>
        <w:t>gGmbH</w:t>
      </w:r>
      <w:proofErr w:type="spellEnd"/>
      <w:r w:rsidRPr="007F75F6">
        <w:rPr>
          <w:lang w:val="en-GB"/>
        </w:rPr>
        <w:t>, with the support of the German Environment Agency, has approved auditors (see Annex B to the Basic Award Criteria) that are authorised to examine the submitted documentation. The approval of the auditors guarantees that the testing of the report is carried out independently and with a high level of professional qualifications. The applicant must commission the auditor to carry out the audit.</w:t>
      </w:r>
    </w:p>
    <w:p w14:paraId="3FA18D25" w14:textId="42E27FDD" w:rsidR="00CF6869" w:rsidRPr="001806FC" w:rsidRDefault="00A74DB8" w:rsidP="00A74DB8">
      <w:r w:rsidRPr="007F75F6">
        <w:rPr>
          <w:lang w:val="en-GB"/>
        </w:rPr>
        <w:t xml:space="preserve">During the term of the Contract on the Use of the Environmental Label, the data </w:t>
      </w:r>
      <w:proofErr w:type="spellStart"/>
      <w:r w:rsidRPr="007F75F6">
        <w:rPr>
          <w:lang w:val="en-GB"/>
        </w:rPr>
        <w:t>center</w:t>
      </w:r>
      <w:proofErr w:type="spellEnd"/>
      <w:r w:rsidRPr="007F75F6">
        <w:rPr>
          <w:lang w:val="en-GB"/>
        </w:rPr>
        <w:t xml:space="preserve"> must be operated in an energy efficient manner and energy efficiency criteria must be </w:t>
      </w:r>
      <w:proofErr w:type="gramStart"/>
      <w:r w:rsidRPr="007F75F6">
        <w:rPr>
          <w:lang w:val="en-GB"/>
        </w:rPr>
        <w:t>taken into account</w:t>
      </w:r>
      <w:proofErr w:type="gramEnd"/>
      <w:r w:rsidRPr="007F75F6">
        <w:rPr>
          <w:lang w:val="en-GB"/>
        </w:rPr>
        <w:t xml:space="preserve"> when acquiring new building technology.</w:t>
      </w:r>
    </w:p>
    <w:p w14:paraId="33B0961D" w14:textId="4F254E57" w:rsidR="00E158E0" w:rsidRPr="00393254" w:rsidRDefault="00A74DB8" w:rsidP="00A74DB8">
      <w:r w:rsidRPr="007F75F6">
        <w:rPr>
          <w:lang w:val="en-GB"/>
        </w:rPr>
        <w:t>The “</w:t>
      </w:r>
      <w:r w:rsidRPr="007F75F6">
        <w:rPr>
          <w:b/>
          <w:lang w:val="en-GB"/>
        </w:rPr>
        <w:t xml:space="preserve">Energy Efficiency Report at the time of </w:t>
      </w:r>
      <w:proofErr w:type="gramStart"/>
      <w:r w:rsidRPr="007F75F6">
        <w:rPr>
          <w:b/>
          <w:lang w:val="en-GB"/>
        </w:rPr>
        <w:t>application</w:t>
      </w:r>
      <w:r w:rsidRPr="007F75F6">
        <w:rPr>
          <w:lang w:val="en-GB"/>
        </w:rPr>
        <w:t>“ must</w:t>
      </w:r>
      <w:proofErr w:type="gramEnd"/>
      <w:r w:rsidRPr="007F75F6">
        <w:rPr>
          <w:lang w:val="en-GB"/>
        </w:rPr>
        <w:t xml:space="preserve"> be submitted to RAL </w:t>
      </w:r>
      <w:proofErr w:type="spellStart"/>
      <w:r w:rsidRPr="007F75F6">
        <w:rPr>
          <w:lang w:val="en-GB"/>
        </w:rPr>
        <w:t>gGmbH</w:t>
      </w:r>
      <w:proofErr w:type="spellEnd"/>
      <w:r w:rsidRPr="007F75F6">
        <w:rPr>
          <w:lang w:val="en-GB"/>
        </w:rPr>
        <w:t xml:space="preserve"> by the applicant together with </w:t>
      </w:r>
      <w:r w:rsidRPr="007F75F6">
        <w:rPr>
          <w:b/>
          <w:lang w:val="en-GB"/>
        </w:rPr>
        <w:t>the audit report at the time the application is made</w:t>
      </w:r>
      <w:r w:rsidRPr="007F75F6">
        <w:rPr>
          <w:lang w:val="en-GB"/>
        </w:rPr>
        <w:t>. The following aspects must be observed in this process:</w:t>
      </w:r>
    </w:p>
    <w:p w14:paraId="187BAFED" w14:textId="2CDF205C" w:rsidR="007F7998" w:rsidRPr="001806FC" w:rsidRDefault="00A74DB8" w:rsidP="00393254">
      <w:pPr>
        <w:pStyle w:val="AufzhlungPunkt1"/>
      </w:pPr>
      <w:r w:rsidRPr="007F75F6">
        <w:rPr>
          <w:lang w:val="en-GB"/>
        </w:rPr>
        <w:t xml:space="preserve">Chapter 2 of the report is used to provide general information about the data </w:t>
      </w:r>
      <w:proofErr w:type="spellStart"/>
      <w:r w:rsidRPr="007F75F6">
        <w:rPr>
          <w:lang w:val="en-GB"/>
        </w:rPr>
        <w:t>center</w:t>
      </w:r>
      <w:proofErr w:type="spellEnd"/>
      <w:r w:rsidRPr="007F75F6">
        <w:rPr>
          <w:lang w:val="en-GB"/>
        </w:rPr>
        <w:t>.</w:t>
      </w:r>
    </w:p>
    <w:p w14:paraId="5C18E552" w14:textId="51B06575" w:rsidR="00402D2F" w:rsidRPr="001806FC" w:rsidRDefault="00A74DB8" w:rsidP="00393254">
      <w:pPr>
        <w:pStyle w:val="AufzhlungPunkt1"/>
      </w:pPr>
      <w:r w:rsidRPr="007F75F6">
        <w:rPr>
          <w:lang w:val="en-GB"/>
        </w:rPr>
        <w:t>Chapter 3 of the report is used to document compliance with all requirements that are valid at the time of application.</w:t>
      </w:r>
    </w:p>
    <w:p w14:paraId="42226CE8" w14:textId="77777777" w:rsidR="006E78BE" w:rsidRPr="001806FC" w:rsidRDefault="006E78BE" w:rsidP="00EF40DF">
      <w:pPr>
        <w:ind w:left="360"/>
      </w:pPr>
    </w:p>
    <w:p w14:paraId="3DB8CC42" w14:textId="747E1253" w:rsidR="005719A0" w:rsidRDefault="00A74DB8" w:rsidP="00393254">
      <w:bookmarkStart w:id="7" w:name="_Hlk122016076"/>
      <w:r w:rsidRPr="007F75F6">
        <w:rPr>
          <w:lang w:val="en-GB"/>
        </w:rPr>
        <w:t>An “</w:t>
      </w:r>
      <w:r w:rsidRPr="007F75F6">
        <w:rPr>
          <w:b/>
          <w:lang w:val="en-GB"/>
        </w:rPr>
        <w:t xml:space="preserve">Energy Efficiency Report for final </w:t>
      </w:r>
      <w:proofErr w:type="gramStart"/>
      <w:r w:rsidRPr="007F75F6">
        <w:rPr>
          <w:b/>
          <w:lang w:val="en-GB"/>
        </w:rPr>
        <w:t>evaluation</w:t>
      </w:r>
      <w:r w:rsidRPr="007F75F6">
        <w:rPr>
          <w:lang w:val="en-GB"/>
        </w:rPr>
        <w:t>“ must</w:t>
      </w:r>
      <w:proofErr w:type="gramEnd"/>
      <w:r w:rsidRPr="007F75F6">
        <w:rPr>
          <w:lang w:val="en-GB"/>
        </w:rPr>
        <w:t xml:space="preserve"> be submitted to RAL </w:t>
      </w:r>
      <w:proofErr w:type="spellStart"/>
      <w:r w:rsidRPr="007F75F6">
        <w:rPr>
          <w:lang w:val="en-GB"/>
        </w:rPr>
        <w:t>gGmbH</w:t>
      </w:r>
      <w:proofErr w:type="spellEnd"/>
      <w:r w:rsidRPr="007F75F6">
        <w:rPr>
          <w:lang w:val="en-GB"/>
        </w:rPr>
        <w:t xml:space="preserve"> together with the updated annexes at the latest 6 months before the end of the agreed term of contract. You can still use this document for the “Energy Efficiency Report for final evaluation”. Please highlight all changes made after the application so that they can be clearly identified, e.g. by </w:t>
      </w:r>
      <w:r w:rsidRPr="007F75F6">
        <w:rPr>
          <w:highlight w:val="green"/>
          <w:lang w:val="en-GB"/>
        </w:rPr>
        <w:t>marking</w:t>
      </w:r>
      <w:r w:rsidRPr="007F75F6">
        <w:rPr>
          <w:lang w:val="en-GB"/>
        </w:rPr>
        <w:t xml:space="preserve"> them or changing the </w:t>
      </w:r>
      <w:r w:rsidRPr="007F75F6">
        <w:rPr>
          <w:color w:val="00B050"/>
          <w:lang w:val="en-GB"/>
        </w:rPr>
        <w:t>font colour</w:t>
      </w:r>
      <w:r w:rsidRPr="007F75F6">
        <w:rPr>
          <w:lang w:val="en-GB"/>
        </w:rPr>
        <w:t>. Compliance with the criteria during the term of the contract must be verified, all annexes must be updated in accordance with the Basic Award Criteria and the series of measurements must be continued.</w:t>
      </w:r>
    </w:p>
    <w:p w14:paraId="7580E0DB" w14:textId="77777777" w:rsidR="005719A0" w:rsidRDefault="005719A0" w:rsidP="00393254"/>
    <w:bookmarkEnd w:id="7"/>
    <w:p w14:paraId="56E2E130" w14:textId="77777777" w:rsidR="00A74DB8" w:rsidRPr="007F75F6" w:rsidRDefault="00A74DB8" w:rsidP="00A74DB8">
      <w:pPr>
        <w:rPr>
          <w:lang w:val="en-GB"/>
        </w:rPr>
      </w:pPr>
      <w:r w:rsidRPr="007F75F6">
        <w:rPr>
          <w:lang w:val="en-GB"/>
        </w:rPr>
        <w:t>If you intend to use the “Energy Efficiency Report for final evaluation” to extend the contract, you must also verify compliance with any new or amended criteria at the time of application and the report must be examined by an external auditor.</w:t>
      </w:r>
    </w:p>
    <w:p w14:paraId="58E5DFE1" w14:textId="77777777" w:rsidR="00A74DB8" w:rsidRPr="007F75F6" w:rsidRDefault="00A74DB8" w:rsidP="00A74DB8">
      <w:pPr>
        <w:rPr>
          <w:lang w:val="en-GB"/>
        </w:rPr>
      </w:pPr>
      <w:r w:rsidRPr="007F75F6">
        <w:rPr>
          <w:lang w:val="en-GB"/>
        </w:rPr>
        <w:t xml:space="preserve">Templates for the annexes are published with the Basic Award Criteria and they can be used for the application. However, you can also create your own documentation as long as it contains at least the required information. </w:t>
      </w:r>
    </w:p>
    <w:p w14:paraId="0FDB2DE3" w14:textId="05CA94BB" w:rsidR="008D5B70" w:rsidRDefault="00A74DB8" w:rsidP="00A74DB8">
      <w:r w:rsidRPr="007F75F6">
        <w:rPr>
          <w:lang w:val="en-GB"/>
        </w:rPr>
        <w:t>If you have any questions about the criteria, creating the Energy Efficiency Report or using the annexes, you can contact one of the auditors named in Annex B or an appropriate consultant. Please note that a consultant who assists you with the creation of the documentation cannot also be used as the auditor.</w:t>
      </w:r>
      <w:r w:rsidR="008D5B70">
        <w:br w:type="page"/>
      </w:r>
    </w:p>
    <w:p w14:paraId="667C1296" w14:textId="6DD47E30" w:rsidR="00650615" w:rsidRDefault="00402068" w:rsidP="008964C3">
      <w:pPr>
        <w:pStyle w:val="b1"/>
      </w:pPr>
      <w:bookmarkStart w:id="8" w:name="_Toc399239515"/>
      <w:bookmarkStart w:id="9" w:name="_Ref112311870"/>
      <w:bookmarkStart w:id="10" w:name="_Toc129875189"/>
      <w:r w:rsidRPr="007F75F6">
        <w:rPr>
          <w:lang w:val="en-GB"/>
        </w:rPr>
        <w:lastRenderedPageBreak/>
        <w:t xml:space="preserve">General information on the data </w:t>
      </w:r>
      <w:proofErr w:type="spellStart"/>
      <w:r w:rsidRPr="007F75F6">
        <w:rPr>
          <w:lang w:val="en-GB"/>
        </w:rPr>
        <w:t>center</w:t>
      </w:r>
      <w:bookmarkEnd w:id="8"/>
      <w:bookmarkEnd w:id="9"/>
      <w:bookmarkEnd w:id="10"/>
      <w:proofErr w:type="spellEnd"/>
    </w:p>
    <w:p w14:paraId="40E1FC61" w14:textId="07B323BC" w:rsidR="00633ED8" w:rsidRPr="000B664E" w:rsidRDefault="00402068" w:rsidP="00393254">
      <w:r w:rsidRPr="007F75F6">
        <w:rPr>
          <w:lang w:val="en-GB"/>
        </w:rPr>
        <w:t xml:space="preserve">Address of the data </w:t>
      </w:r>
      <w:proofErr w:type="spellStart"/>
      <w:r w:rsidRPr="007F75F6">
        <w:rPr>
          <w:lang w:val="en-GB"/>
        </w:rPr>
        <w:t>center</w:t>
      </w:r>
      <w:proofErr w:type="spellEnd"/>
      <w:r w:rsidRPr="007F75F6">
        <w:rPr>
          <w:lang w:val="en-GB"/>
        </w:rPr>
        <w:t xml:space="preserve"> (if different to the applicant’s address):</w:t>
      </w:r>
    </w:p>
    <w:p w14:paraId="389BE0B1" w14:textId="77777777" w:rsidR="00633ED8" w:rsidRPr="000B664E" w:rsidRDefault="00633ED8" w:rsidP="00393254"/>
    <w:p w14:paraId="4F07BCC4" w14:textId="77777777" w:rsidR="00633ED8" w:rsidRPr="000B664E" w:rsidRDefault="00633ED8" w:rsidP="00393254"/>
    <w:p w14:paraId="76E19C91" w14:textId="77777777" w:rsidR="00BD353A" w:rsidRPr="000B664E" w:rsidRDefault="00BD353A" w:rsidP="00393254"/>
    <w:p w14:paraId="4840600F" w14:textId="77777777" w:rsidR="00BD353A" w:rsidRPr="000B664E" w:rsidRDefault="00BD353A" w:rsidP="00393254"/>
    <w:p w14:paraId="68B2032D" w14:textId="77777777" w:rsidR="00633ED8" w:rsidRPr="000B664E" w:rsidRDefault="00633ED8" w:rsidP="00393254"/>
    <w:p w14:paraId="1030CC7D" w14:textId="1D0E4B2F" w:rsidR="00633ED8" w:rsidRPr="000B664E" w:rsidRDefault="00402068" w:rsidP="00393254">
      <w:r w:rsidRPr="007F75F6">
        <w:rPr>
          <w:lang w:val="en-GB"/>
        </w:rPr>
        <w:t>Date DC commissioned:</w:t>
      </w:r>
    </w:p>
    <w:p w14:paraId="3B21838B" w14:textId="77777777" w:rsidR="00633ED8" w:rsidRPr="000B664E" w:rsidRDefault="00633ED8" w:rsidP="00393254"/>
    <w:p w14:paraId="0FC044D0" w14:textId="77777777" w:rsidR="00BD353A" w:rsidRPr="000B664E" w:rsidRDefault="00BD353A" w:rsidP="00393254"/>
    <w:p w14:paraId="5E1CA6D1" w14:textId="77777777" w:rsidR="00FD1700" w:rsidRPr="00FD1700" w:rsidRDefault="00FD1700" w:rsidP="00FD1700"/>
    <w:p w14:paraId="0C38962B" w14:textId="07E451C6" w:rsidR="00B85944" w:rsidRPr="001806FC" w:rsidRDefault="00402068" w:rsidP="008964C3">
      <w:pPr>
        <w:pStyle w:val="b2"/>
      </w:pPr>
      <w:bookmarkStart w:id="11" w:name="_Toc129875190"/>
      <w:bookmarkEnd w:id="6"/>
      <w:r w:rsidRPr="007F75F6">
        <w:rPr>
          <w:lang w:val="en-GB"/>
        </w:rPr>
        <w:t xml:space="preserve">Capacity of the data </w:t>
      </w:r>
      <w:proofErr w:type="spellStart"/>
      <w:r w:rsidRPr="007F75F6">
        <w:rPr>
          <w:lang w:val="en-GB"/>
        </w:rPr>
        <w:t>center</w:t>
      </w:r>
      <w:bookmarkEnd w:id="11"/>
      <w:proofErr w:type="spellEnd"/>
    </w:p>
    <w:p w14:paraId="71E594DC" w14:textId="099A63C1" w:rsidR="00EC179A" w:rsidRPr="001806FC" w:rsidRDefault="00402068" w:rsidP="008B6CCF">
      <w:r w:rsidRPr="007F75F6">
        <w:rPr>
          <w:lang w:val="en-GB"/>
        </w:rPr>
        <w:t>Size of the white space in m</w:t>
      </w:r>
      <w:r w:rsidRPr="007F75F6">
        <w:rPr>
          <w:vertAlign w:val="superscript"/>
          <w:lang w:val="en-GB"/>
        </w:rPr>
        <w:t>2</w:t>
      </w:r>
      <w:r w:rsidRPr="007F75F6">
        <w:rPr>
          <w:lang w:val="en-GB"/>
        </w:rPr>
        <w:t>:</w:t>
      </w:r>
      <w:r w:rsidR="003E65C5">
        <w:tab/>
      </w:r>
    </w:p>
    <w:p w14:paraId="0F8CA054" w14:textId="4A4FDA5D" w:rsidR="00C16F60" w:rsidRPr="001806FC" w:rsidRDefault="00402068" w:rsidP="008B6CCF">
      <w:bookmarkStart w:id="12" w:name="_Ref164939331"/>
      <w:r w:rsidRPr="007F75F6">
        <w:rPr>
          <w:lang w:val="en-GB"/>
        </w:rPr>
        <w:t xml:space="preserve">Total IT output (design) in </w:t>
      </w:r>
      <w:proofErr w:type="spellStart"/>
      <w:r w:rsidRPr="007F75F6">
        <w:rPr>
          <w:lang w:val="en-GB"/>
        </w:rPr>
        <w:t>kW</w:t>
      </w:r>
      <w:r w:rsidRPr="007F75F6">
        <w:rPr>
          <w:vertAlign w:val="subscript"/>
          <w:lang w:val="en-GB"/>
        </w:rPr>
        <w:t>el</w:t>
      </w:r>
      <w:proofErr w:type="spellEnd"/>
      <w:r w:rsidRPr="007F75F6">
        <w:rPr>
          <w:lang w:val="en-GB"/>
        </w:rPr>
        <w:t>:</w:t>
      </w:r>
      <w:r w:rsidR="003E65C5">
        <w:t xml:space="preserve"> </w:t>
      </w:r>
      <w:r w:rsidR="007A5D96">
        <w:tab/>
      </w:r>
    </w:p>
    <w:p w14:paraId="20EF7947" w14:textId="487D698E" w:rsidR="00DD04EC" w:rsidRDefault="00402068" w:rsidP="008B6CCF">
      <w:r w:rsidRPr="007F75F6">
        <w:rPr>
          <w:lang w:val="en-GB"/>
        </w:rPr>
        <w:t xml:space="preserve">Currently used IT performance in </w:t>
      </w:r>
      <w:proofErr w:type="spellStart"/>
      <w:r w:rsidRPr="007F75F6">
        <w:rPr>
          <w:lang w:val="en-GB"/>
        </w:rPr>
        <w:t>kW</w:t>
      </w:r>
      <w:r w:rsidRPr="007F75F6">
        <w:rPr>
          <w:vertAlign w:val="subscript"/>
          <w:lang w:val="en-GB"/>
        </w:rPr>
        <w:t>el</w:t>
      </w:r>
      <w:proofErr w:type="spellEnd"/>
      <w:r w:rsidRPr="007F75F6">
        <w:rPr>
          <w:lang w:val="en-GB"/>
        </w:rPr>
        <w:t>:</w:t>
      </w:r>
      <w:r>
        <w:rPr>
          <w:lang w:val="en-GB"/>
        </w:rPr>
        <w:tab/>
      </w:r>
    </w:p>
    <w:p w14:paraId="1E0C6C91" w14:textId="3451FDAB" w:rsidR="00120BBA" w:rsidRPr="001806FC" w:rsidRDefault="00402068" w:rsidP="008B6CCF">
      <w:r w:rsidRPr="007F75F6">
        <w:rPr>
          <w:lang w:val="en-GB"/>
        </w:rPr>
        <w:t>Availability class according to DIN EN 50600:</w:t>
      </w:r>
      <w:r w:rsidR="007A5D96">
        <w:tab/>
      </w:r>
    </w:p>
    <w:bookmarkEnd w:id="12"/>
    <w:p w14:paraId="5DADACFF" w14:textId="77777777" w:rsidR="00B714C5" w:rsidRPr="00DD04EC" w:rsidRDefault="00B714C5" w:rsidP="00131226"/>
    <w:p w14:paraId="6AD2A6EC" w14:textId="728D1C01" w:rsidR="00B714C5" w:rsidRDefault="00402068" w:rsidP="008964C3">
      <w:pPr>
        <w:pStyle w:val="b2"/>
        <w:rPr>
          <w:lang w:val="en-US"/>
        </w:rPr>
      </w:pPr>
      <w:bookmarkStart w:id="13" w:name="_Toc129875191"/>
      <w:r w:rsidRPr="007F75F6">
        <w:rPr>
          <w:lang w:val="en-GB"/>
        </w:rPr>
        <w:t xml:space="preserve">Description of the data </w:t>
      </w:r>
      <w:proofErr w:type="spellStart"/>
      <w:r w:rsidRPr="007F75F6">
        <w:rPr>
          <w:lang w:val="en-GB"/>
        </w:rPr>
        <w:t>center</w:t>
      </w:r>
      <w:bookmarkEnd w:id="13"/>
      <w:proofErr w:type="spellEnd"/>
    </w:p>
    <w:p w14:paraId="2E5AA857" w14:textId="0007D58F" w:rsidR="00B714C5" w:rsidRPr="000B664E" w:rsidRDefault="00402068" w:rsidP="00B714C5">
      <w:r>
        <w:rPr>
          <w:lang w:val="en-GB"/>
        </w:rPr>
        <w:t>(P</w:t>
      </w:r>
      <w:r w:rsidRPr="007F75F6">
        <w:rPr>
          <w:lang w:val="en-GB"/>
        </w:rPr>
        <w:t xml:space="preserve">lease describe the data </w:t>
      </w:r>
      <w:proofErr w:type="spellStart"/>
      <w:r w:rsidRPr="007F75F6">
        <w:rPr>
          <w:lang w:val="en-GB"/>
        </w:rPr>
        <w:t>center</w:t>
      </w:r>
      <w:proofErr w:type="spellEnd"/>
      <w:r w:rsidRPr="007F75F6">
        <w:rPr>
          <w:lang w:val="en-GB"/>
        </w:rPr>
        <w:t xml:space="preserve"> in your own words, e.g.:</w:t>
      </w:r>
    </w:p>
    <w:p w14:paraId="0714E839" w14:textId="77777777" w:rsidR="00402068" w:rsidRPr="007F75F6" w:rsidRDefault="00402068" w:rsidP="00402068">
      <w:pPr>
        <w:pStyle w:val="AufzhlungPunkt1"/>
        <w:rPr>
          <w:lang w:val="en-GB"/>
        </w:rPr>
      </w:pPr>
      <w:r w:rsidRPr="007F75F6">
        <w:rPr>
          <w:lang w:val="en-GB"/>
        </w:rPr>
        <w:t xml:space="preserve">Is the building just a data </w:t>
      </w:r>
      <w:proofErr w:type="spellStart"/>
      <w:r w:rsidRPr="007F75F6">
        <w:rPr>
          <w:lang w:val="en-GB"/>
        </w:rPr>
        <w:t>center</w:t>
      </w:r>
      <w:proofErr w:type="spellEnd"/>
      <w:r w:rsidRPr="007F75F6">
        <w:rPr>
          <w:lang w:val="en-GB"/>
        </w:rPr>
        <w:t xml:space="preserve"> or is the data </w:t>
      </w:r>
      <w:proofErr w:type="spellStart"/>
      <w:r w:rsidRPr="007F75F6">
        <w:rPr>
          <w:lang w:val="en-GB"/>
        </w:rPr>
        <w:t>center</w:t>
      </w:r>
      <w:proofErr w:type="spellEnd"/>
      <w:r w:rsidRPr="007F75F6">
        <w:rPr>
          <w:lang w:val="en-GB"/>
        </w:rPr>
        <w:t xml:space="preserve"> located in an administrative building or a building with another use?</w:t>
      </w:r>
    </w:p>
    <w:p w14:paraId="481D9804" w14:textId="77777777" w:rsidR="00402068" w:rsidRPr="007F75F6" w:rsidRDefault="00402068" w:rsidP="00402068">
      <w:pPr>
        <w:pStyle w:val="AufzhlungPunkt1"/>
        <w:rPr>
          <w:lang w:val="en-GB"/>
        </w:rPr>
      </w:pPr>
      <w:r w:rsidRPr="007F75F6">
        <w:rPr>
          <w:lang w:val="en-GB"/>
        </w:rPr>
        <w:t xml:space="preserve">Is the data </w:t>
      </w:r>
      <w:proofErr w:type="spellStart"/>
      <w:r w:rsidRPr="007F75F6">
        <w:rPr>
          <w:lang w:val="en-GB"/>
        </w:rPr>
        <w:t>center</w:t>
      </w:r>
      <w:proofErr w:type="spellEnd"/>
      <w:r w:rsidRPr="007F75F6">
        <w:rPr>
          <w:lang w:val="en-GB"/>
        </w:rPr>
        <w:t xml:space="preserve"> used solely as a company data </w:t>
      </w:r>
      <w:proofErr w:type="spellStart"/>
      <w:r w:rsidRPr="007F75F6">
        <w:rPr>
          <w:lang w:val="en-GB"/>
        </w:rPr>
        <w:t>center</w:t>
      </w:r>
      <w:proofErr w:type="spellEnd"/>
      <w:r w:rsidRPr="007F75F6">
        <w:rPr>
          <w:lang w:val="en-GB"/>
        </w:rPr>
        <w:t xml:space="preserve"> or as a colocation data </w:t>
      </w:r>
      <w:proofErr w:type="spellStart"/>
      <w:r w:rsidRPr="007F75F6">
        <w:rPr>
          <w:lang w:val="en-GB"/>
        </w:rPr>
        <w:t>center</w:t>
      </w:r>
      <w:proofErr w:type="spellEnd"/>
      <w:r w:rsidRPr="007F75F6">
        <w:rPr>
          <w:lang w:val="en-GB"/>
        </w:rPr>
        <w:t xml:space="preserve"> or is it used for a mix of different business models? If it is used for different business models, please estimate the proportion of the IT performance that is used for each model.</w:t>
      </w:r>
    </w:p>
    <w:p w14:paraId="325DABF8" w14:textId="77777777" w:rsidR="00402068" w:rsidRPr="007F75F6" w:rsidRDefault="00402068" w:rsidP="00402068">
      <w:pPr>
        <w:pStyle w:val="AufzhlungPunkt1"/>
        <w:rPr>
          <w:lang w:val="en-GB"/>
        </w:rPr>
      </w:pPr>
      <w:r w:rsidRPr="007F75F6">
        <w:rPr>
          <w:lang w:val="en-GB"/>
        </w:rPr>
        <w:t xml:space="preserve">Is the data </w:t>
      </w:r>
      <w:proofErr w:type="spellStart"/>
      <w:r w:rsidRPr="007F75F6">
        <w:rPr>
          <w:lang w:val="en-GB"/>
        </w:rPr>
        <w:t>center</w:t>
      </w:r>
      <w:proofErr w:type="spellEnd"/>
      <w:r w:rsidRPr="007F75F6">
        <w:rPr>
          <w:lang w:val="en-GB"/>
        </w:rPr>
        <w:t xml:space="preserve"> part of a twin or multi-site group?</w:t>
      </w:r>
    </w:p>
    <w:p w14:paraId="4E9B0CC1" w14:textId="77777777" w:rsidR="00402068" w:rsidRPr="007F75F6" w:rsidRDefault="00402068" w:rsidP="00402068">
      <w:pPr>
        <w:pStyle w:val="AufzhlungPunkt1"/>
        <w:rPr>
          <w:lang w:val="en-GB"/>
        </w:rPr>
      </w:pPr>
      <w:r w:rsidRPr="007F75F6">
        <w:rPr>
          <w:lang w:val="en-GB"/>
        </w:rPr>
        <w:t xml:space="preserve">Since commissioning the data </w:t>
      </w:r>
      <w:proofErr w:type="spellStart"/>
      <w:r w:rsidRPr="007F75F6">
        <w:rPr>
          <w:lang w:val="en-GB"/>
        </w:rPr>
        <w:t>center</w:t>
      </w:r>
      <w:proofErr w:type="spellEnd"/>
      <w:r w:rsidRPr="007F75F6">
        <w:rPr>
          <w:lang w:val="en-GB"/>
        </w:rPr>
        <w:t>, have you updated parts of the technical equipment?</w:t>
      </w:r>
    </w:p>
    <w:p w14:paraId="2D4522C7" w14:textId="77777777" w:rsidR="00402068" w:rsidRPr="007F75F6" w:rsidRDefault="00402068" w:rsidP="00402068">
      <w:pPr>
        <w:pStyle w:val="AufzhlungPunkt1"/>
        <w:rPr>
          <w:lang w:val="en-GB"/>
        </w:rPr>
      </w:pPr>
      <w:r w:rsidRPr="007F75F6">
        <w:rPr>
          <w:lang w:val="en-GB"/>
        </w:rPr>
        <w:t>Do you have special technical equipment, e.g. a special cooling system or absorption chiller?</w:t>
      </w:r>
    </w:p>
    <w:p w14:paraId="5053FDE4" w14:textId="77777777" w:rsidR="00402068" w:rsidRPr="007F75F6" w:rsidRDefault="00402068" w:rsidP="00402068">
      <w:pPr>
        <w:pStyle w:val="AufzhlungPunkt1"/>
        <w:rPr>
          <w:lang w:val="en-GB"/>
        </w:rPr>
      </w:pPr>
      <w:r w:rsidRPr="007F75F6">
        <w:rPr>
          <w:lang w:val="en-GB"/>
        </w:rPr>
        <w:t>Do you use direct water cooling in the IT components?</w:t>
      </w:r>
    </w:p>
    <w:p w14:paraId="413FE640" w14:textId="77777777" w:rsidR="00402068" w:rsidRPr="007F75F6" w:rsidRDefault="00402068" w:rsidP="00402068">
      <w:pPr>
        <w:pStyle w:val="AufzhlungPunkt1"/>
        <w:rPr>
          <w:lang w:val="en-GB"/>
        </w:rPr>
      </w:pPr>
      <w:r w:rsidRPr="007F75F6">
        <w:rPr>
          <w:lang w:val="en-GB"/>
        </w:rPr>
        <w:t>What inlet temperature do you use for the IT components?</w:t>
      </w:r>
    </w:p>
    <w:p w14:paraId="4B70F799" w14:textId="77777777" w:rsidR="00402068" w:rsidRPr="007F75F6" w:rsidRDefault="00402068" w:rsidP="00402068">
      <w:pPr>
        <w:pStyle w:val="AufzhlungPunkt1"/>
        <w:rPr>
          <w:lang w:val="en-GB"/>
        </w:rPr>
      </w:pPr>
      <w:r w:rsidRPr="007F75F6">
        <w:rPr>
          <w:lang w:val="en-GB"/>
        </w:rPr>
        <w:t>If you have a cooling concept with series of racks, are the racks fully enclosed?</w:t>
      </w:r>
    </w:p>
    <w:p w14:paraId="47D773F6" w14:textId="77777777" w:rsidR="00402068" w:rsidRPr="007F75F6" w:rsidRDefault="00402068" w:rsidP="00402068">
      <w:pPr>
        <w:pStyle w:val="AufzhlungPunkt1"/>
        <w:rPr>
          <w:lang w:val="en-GB"/>
        </w:rPr>
      </w:pPr>
      <w:r w:rsidRPr="007F75F6">
        <w:rPr>
          <w:lang w:val="en-GB"/>
        </w:rPr>
        <w:t>Which temperature range do you use for free cooling?</w:t>
      </w:r>
    </w:p>
    <w:p w14:paraId="5CDB5C7A" w14:textId="2F8873DE" w:rsidR="00A57A62" w:rsidRPr="000B664E" w:rsidRDefault="00402068" w:rsidP="00402068">
      <w:pPr>
        <w:pStyle w:val="AufzhlungPunkt1"/>
      </w:pPr>
      <w:r w:rsidRPr="007F75F6">
        <w:rPr>
          <w:lang w:val="en-GB"/>
        </w:rPr>
        <w:t xml:space="preserve">Do you utilise the waste heat from the data </w:t>
      </w:r>
      <w:proofErr w:type="spellStart"/>
      <w:r w:rsidRPr="007F75F6">
        <w:rPr>
          <w:lang w:val="en-GB"/>
        </w:rPr>
        <w:t>center</w:t>
      </w:r>
      <w:proofErr w:type="spellEnd"/>
      <w:r w:rsidRPr="007F75F6">
        <w:rPr>
          <w:lang w:val="en-GB"/>
        </w:rPr>
        <w:t>?</w:t>
      </w:r>
    </w:p>
    <w:p w14:paraId="6677ADA1" w14:textId="77777777" w:rsidR="005719A0" w:rsidRDefault="005719A0" w:rsidP="008B6CCF"/>
    <w:p w14:paraId="71675AD1" w14:textId="77777777" w:rsidR="00402068" w:rsidRPr="007F75F6" w:rsidRDefault="00402068" w:rsidP="00402068">
      <w:pPr>
        <w:rPr>
          <w:lang w:val="en-GB"/>
        </w:rPr>
      </w:pPr>
      <w:r w:rsidRPr="007F75F6">
        <w:rPr>
          <w:lang w:val="en-GB"/>
        </w:rPr>
        <w:t>Please delete the examples here after creating your text and</w:t>
      </w:r>
    </w:p>
    <w:p w14:paraId="56C42A25" w14:textId="3F942F7F" w:rsidR="007B34FD" w:rsidRPr="000B664E" w:rsidRDefault="00402068" w:rsidP="00402068">
      <w:r>
        <w:rPr>
          <w:lang w:val="en-GB"/>
        </w:rPr>
        <w:t>f</w:t>
      </w:r>
      <w:r w:rsidRPr="007F75F6">
        <w:rPr>
          <w:lang w:val="en-GB"/>
        </w:rPr>
        <w:t xml:space="preserve">or the final evaluation, describe which changes have been made to the data </w:t>
      </w:r>
      <w:proofErr w:type="spellStart"/>
      <w:r w:rsidRPr="007F75F6">
        <w:rPr>
          <w:lang w:val="en-GB"/>
        </w:rPr>
        <w:t>center</w:t>
      </w:r>
      <w:proofErr w:type="spellEnd"/>
      <w:r w:rsidRPr="007F75F6">
        <w:rPr>
          <w:lang w:val="en-GB"/>
        </w:rPr>
        <w:t xml:space="preserve"> since the application was submitted</w:t>
      </w:r>
      <w:r>
        <w:rPr>
          <w:lang w:val="en-GB"/>
        </w:rPr>
        <w:t>)</w:t>
      </w:r>
      <w:r w:rsidR="00865E61" w:rsidRPr="000B664E">
        <w:t xml:space="preserve"> </w:t>
      </w:r>
    </w:p>
    <w:p w14:paraId="3E919F90" w14:textId="77777777" w:rsidR="00913E78" w:rsidRDefault="00913E78" w:rsidP="008B6CCF"/>
    <w:p w14:paraId="73A33425" w14:textId="3D2CF034" w:rsidR="006210B4" w:rsidRDefault="00402068" w:rsidP="008B6CCF">
      <w:r w:rsidRPr="007F75F6">
        <w:rPr>
          <w:lang w:val="en-GB"/>
        </w:rPr>
        <w:t>Alternatively:</w:t>
      </w:r>
    </w:p>
    <w:p w14:paraId="571471AA" w14:textId="34BB051C" w:rsidR="006218F2"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rsidR="00E41D21">
        <w:t xml:space="preserve"> </w:t>
      </w:r>
      <w:r w:rsidR="00402068" w:rsidRPr="007F75F6">
        <w:rPr>
          <w:lang w:val="en-GB"/>
        </w:rPr>
        <w:t>The description is enclosed as an annex with the file name:</w:t>
      </w:r>
    </w:p>
    <w:p w14:paraId="46597B45" w14:textId="77777777" w:rsidR="000A5D00" w:rsidRDefault="000A5D00" w:rsidP="008B6CCF"/>
    <w:p w14:paraId="71DAF136" w14:textId="77777777" w:rsidR="00C04336" w:rsidRDefault="00C04336" w:rsidP="008B6CCF"/>
    <w:p w14:paraId="77649B13" w14:textId="59AFB580" w:rsidR="00F9798B" w:rsidRDefault="00BB5728" w:rsidP="008964C3">
      <w:pPr>
        <w:pStyle w:val="b1"/>
      </w:pPr>
      <w:bookmarkStart w:id="14" w:name="_Toc24457713"/>
      <w:bookmarkStart w:id="15" w:name="_Toc24457762"/>
      <w:bookmarkStart w:id="16" w:name="_Toc24457714"/>
      <w:bookmarkStart w:id="17" w:name="_Toc24457763"/>
      <w:bookmarkStart w:id="18" w:name="_Toc24457715"/>
      <w:bookmarkStart w:id="19" w:name="_Toc24457764"/>
      <w:bookmarkStart w:id="20" w:name="_Toc24457722"/>
      <w:bookmarkStart w:id="21" w:name="_Toc24457771"/>
      <w:bookmarkStart w:id="22" w:name="_Toc24457723"/>
      <w:bookmarkStart w:id="23" w:name="_Toc24457772"/>
      <w:bookmarkStart w:id="24" w:name="_Toc24457724"/>
      <w:bookmarkStart w:id="25" w:name="_Toc24457773"/>
      <w:bookmarkStart w:id="26" w:name="_Toc24457726"/>
      <w:bookmarkStart w:id="27" w:name="_Toc24457775"/>
      <w:bookmarkStart w:id="28" w:name="_Toc535326205"/>
      <w:bookmarkStart w:id="29" w:name="_Toc536192709"/>
      <w:bookmarkStart w:id="30" w:name="_Toc24457728"/>
      <w:bookmarkStart w:id="31" w:name="_Toc24457777"/>
      <w:bookmarkStart w:id="32" w:name="_Toc24457729"/>
      <w:bookmarkStart w:id="33" w:name="_Toc24457778"/>
      <w:bookmarkStart w:id="34" w:name="_Toc24457730"/>
      <w:bookmarkStart w:id="35" w:name="_Toc24457779"/>
      <w:bookmarkStart w:id="36" w:name="_Toc24457734"/>
      <w:bookmarkStart w:id="37" w:name="_Toc24457783"/>
      <w:bookmarkStart w:id="38" w:name="_Toc24457735"/>
      <w:bookmarkStart w:id="39" w:name="_Toc24457784"/>
      <w:bookmarkStart w:id="40" w:name="_Ref121139194"/>
      <w:bookmarkStart w:id="41" w:name="_Toc12987519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7F75F6">
        <w:rPr>
          <w:lang w:val="en-GB"/>
        </w:rPr>
        <w:t>Compliance with the criteria</w:t>
      </w:r>
      <w:bookmarkEnd w:id="40"/>
      <w:bookmarkEnd w:id="41"/>
    </w:p>
    <w:p w14:paraId="699E2ED9" w14:textId="089F74EC" w:rsidR="00FF7070" w:rsidRDefault="00BB5728" w:rsidP="008B6CCF">
      <w:r w:rsidRPr="007F75F6">
        <w:rPr>
          <w:lang w:val="en-GB"/>
        </w:rPr>
        <w:t>The numbers used for the criteria correspond to the numbers in the Basic Award Criteria.</w:t>
      </w:r>
    </w:p>
    <w:p w14:paraId="7A23BF26" w14:textId="4869075F" w:rsidR="00CD7C1E" w:rsidRDefault="00CD7C1E" w:rsidP="008B6CCF"/>
    <w:p w14:paraId="004C9704" w14:textId="526A9606" w:rsidR="00CD7C1E" w:rsidRDefault="00CD7C1E"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BB5728" w:rsidRPr="007F75F6">
        <w:rPr>
          <w:lang w:val="en-GB"/>
        </w:rPr>
        <w:t>The applicant confirms compliance with all of the criteria listed in Paragraph 3.</w:t>
      </w:r>
    </w:p>
    <w:p w14:paraId="747819EA" w14:textId="77777777" w:rsidR="007D1708" w:rsidRDefault="007D1708" w:rsidP="008B6CCF"/>
    <w:p w14:paraId="3E87131B" w14:textId="37CBD4D5" w:rsidR="007D1708" w:rsidRDefault="00BB5728" w:rsidP="008964C3">
      <w:pPr>
        <w:pStyle w:val="b2"/>
      </w:pPr>
      <w:bookmarkStart w:id="42" w:name="_Ref105781527"/>
      <w:bookmarkStart w:id="43" w:name="_Ref105781543"/>
      <w:bookmarkStart w:id="44" w:name="_Ref105781554"/>
      <w:bookmarkStart w:id="45" w:name="_Ref107396432"/>
      <w:bookmarkStart w:id="46" w:name="_Ref107396437"/>
      <w:bookmarkStart w:id="47" w:name="_Ref107396691"/>
      <w:bookmarkStart w:id="48" w:name="_Toc109635676"/>
      <w:bookmarkStart w:id="49" w:name="_Toc129875193"/>
      <w:r w:rsidRPr="007F75F6">
        <w:rPr>
          <w:lang w:val="en-GB"/>
        </w:rPr>
        <w:t>Requirements for all applicants</w:t>
      </w:r>
      <w:bookmarkEnd w:id="42"/>
      <w:bookmarkEnd w:id="43"/>
      <w:bookmarkEnd w:id="44"/>
      <w:bookmarkEnd w:id="45"/>
      <w:bookmarkEnd w:id="46"/>
      <w:bookmarkEnd w:id="47"/>
      <w:bookmarkEnd w:id="48"/>
      <w:bookmarkEnd w:id="49"/>
    </w:p>
    <w:p w14:paraId="5EF4B844" w14:textId="7FF298A8" w:rsidR="00AB4939" w:rsidRPr="00051F07" w:rsidRDefault="00BB5728" w:rsidP="008964C3">
      <w:pPr>
        <w:pStyle w:val="b3"/>
      </w:pPr>
      <w:bookmarkStart w:id="50" w:name="_Ref100833741"/>
      <w:bookmarkStart w:id="51" w:name="_Toc109635677"/>
      <w:bookmarkStart w:id="52" w:name="_Toc129875194"/>
      <w:r w:rsidRPr="007F75F6">
        <w:rPr>
          <w:lang w:val="en-GB"/>
        </w:rPr>
        <w:t>Energy management system</w:t>
      </w:r>
      <w:bookmarkEnd w:id="50"/>
      <w:bookmarkEnd w:id="51"/>
      <w:bookmarkEnd w:id="52"/>
    </w:p>
    <w:p w14:paraId="48E3690B" w14:textId="77777777" w:rsidR="00BB5728" w:rsidRPr="007F75F6" w:rsidRDefault="00BB5728" w:rsidP="00BB5728">
      <w:pPr>
        <w:rPr>
          <w:lang w:val="en-GB"/>
        </w:rPr>
      </w:pPr>
      <w:r w:rsidRPr="007F75F6">
        <w:rPr>
          <w:lang w:val="en-GB"/>
        </w:rPr>
        <w:t xml:space="preserve">The applicant confirms that they have an energy management system for the data </w:t>
      </w:r>
      <w:proofErr w:type="spellStart"/>
      <w:r w:rsidRPr="007F75F6">
        <w:rPr>
          <w:lang w:val="en-GB"/>
        </w:rPr>
        <w:t>center</w:t>
      </w:r>
      <w:proofErr w:type="spellEnd"/>
      <w:r w:rsidRPr="007F75F6">
        <w:rPr>
          <w:lang w:val="en-GB"/>
        </w:rPr>
        <w:t xml:space="preserve"> or the subsection of the data </w:t>
      </w:r>
      <w:proofErr w:type="spellStart"/>
      <w:r w:rsidRPr="007F75F6">
        <w:rPr>
          <w:lang w:val="en-GB"/>
        </w:rPr>
        <w:t>center</w:t>
      </w:r>
      <w:proofErr w:type="spellEnd"/>
      <w:r w:rsidRPr="007F75F6">
        <w:rPr>
          <w:lang w:val="en-GB"/>
        </w:rPr>
        <w:t xml:space="preserve"> for which they are responsible. This should be based on DIN EN 50600-3-1, DIN EN ISO 50001</w:t>
      </w:r>
      <w:r w:rsidRPr="007F75F6">
        <w:rPr>
          <w:rStyle w:val="Hochgestellt"/>
          <w:lang w:val="en-GB"/>
        </w:rPr>
        <w:footnoteReference w:id="2"/>
      </w:r>
      <w:r w:rsidRPr="007F75F6">
        <w:rPr>
          <w:lang w:val="en-GB"/>
        </w:rPr>
        <w:t xml:space="preserve"> or EMAS III</w:t>
      </w:r>
      <w:r w:rsidRPr="007F75F6">
        <w:rPr>
          <w:rStyle w:val="Hochgestellt"/>
          <w:lang w:val="en-GB"/>
        </w:rPr>
        <w:footnoteReference w:id="3"/>
      </w:r>
      <w:r w:rsidRPr="007F75F6">
        <w:rPr>
          <w:lang w:val="en-GB"/>
        </w:rPr>
        <w:t xml:space="preserve">. </w:t>
      </w:r>
    </w:p>
    <w:p w14:paraId="622946F3" w14:textId="5741A6A2" w:rsidR="00224365" w:rsidRDefault="00BB5728" w:rsidP="00BB5728">
      <w:r w:rsidRPr="007F75F6">
        <w:rPr>
          <w:lang w:val="en-GB"/>
        </w:rPr>
        <w:t>The description of the energy management system is enclosed as Annex 3.1 with the file name:</w:t>
      </w:r>
    </w:p>
    <w:p w14:paraId="6493B3C3" w14:textId="77777777" w:rsidR="00446FAE" w:rsidRDefault="00446FAE" w:rsidP="008B6CCF"/>
    <w:p w14:paraId="116437BA" w14:textId="77777777" w:rsidR="00446FAE" w:rsidRPr="00224365" w:rsidRDefault="00446FAE" w:rsidP="008B6CCF"/>
    <w:p w14:paraId="4CBAA606" w14:textId="283194D9" w:rsidR="009B2680" w:rsidRPr="004747C1" w:rsidRDefault="00BB5728" w:rsidP="008964C3">
      <w:pPr>
        <w:pStyle w:val="b3"/>
      </w:pPr>
      <w:bookmarkStart w:id="53" w:name="_Ref100834828"/>
      <w:bookmarkStart w:id="54" w:name="_Toc109635678"/>
      <w:bookmarkStart w:id="55" w:name="_Toc129875195"/>
      <w:r w:rsidRPr="007F75F6">
        <w:rPr>
          <w:lang w:val="en-GB"/>
        </w:rPr>
        <w:t>Energy Efficiency Report at the time of application</w:t>
      </w:r>
      <w:bookmarkEnd w:id="53"/>
      <w:bookmarkEnd w:id="54"/>
      <w:bookmarkEnd w:id="55"/>
    </w:p>
    <w:p w14:paraId="2F800AA6" w14:textId="2C3BF171" w:rsidR="009B2680" w:rsidRDefault="00BB5728" w:rsidP="008B6CCF">
      <w:r w:rsidRPr="007F75F6">
        <w:rPr>
          <w:lang w:val="en-GB"/>
        </w:rPr>
        <w:t xml:space="preserve">An Energy Efficiency Report must be submitted at the time of application that provides information on the current technical status of the data </w:t>
      </w:r>
      <w:proofErr w:type="spellStart"/>
      <w:r w:rsidRPr="007F75F6">
        <w:rPr>
          <w:lang w:val="en-GB"/>
        </w:rPr>
        <w:t>center</w:t>
      </w:r>
      <w:proofErr w:type="spellEnd"/>
      <w:r w:rsidRPr="007F75F6">
        <w:rPr>
          <w:lang w:val="en-GB"/>
        </w:rPr>
        <w:t xml:space="preserve">. In addition, the Energy Efficiency Report must document compliance with all of the requirements that are valid at the time of application. </w:t>
      </w:r>
      <w:r w:rsidR="009B2680" w:rsidRPr="004747C1">
        <w:t xml:space="preserve"> </w:t>
      </w:r>
    </w:p>
    <w:p w14:paraId="5E254D4E" w14:textId="03D3BE70" w:rsidR="009B2680" w:rsidRPr="004747C1" w:rsidRDefault="00F11180"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rsidRPr="001806FC">
        <w:t xml:space="preserve"> </w:t>
      </w:r>
      <w:r w:rsidR="00BB5728" w:rsidRPr="007F75F6">
        <w:rPr>
          <w:lang w:val="en-GB"/>
        </w:rPr>
        <w:t>Annex 2 (this document) should be used for creating the Energy Efficiency Report.</w:t>
      </w:r>
    </w:p>
    <w:p w14:paraId="5813A2B8" w14:textId="01E7C13A" w:rsidR="006210B4" w:rsidRDefault="00BB5728" w:rsidP="008B6CCF">
      <w:r w:rsidRPr="007F75F6">
        <w:rPr>
          <w:lang w:val="en-GB"/>
        </w:rPr>
        <w:t xml:space="preserve">Alternatively: </w:t>
      </w:r>
      <w:r w:rsidR="00AE1430">
        <w:t xml:space="preserve"> </w:t>
      </w:r>
    </w:p>
    <w:p w14:paraId="04565094" w14:textId="5E01DA07" w:rsidR="007D1708"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BB5728" w:rsidRPr="007F75F6">
        <w:rPr>
          <w:lang w:val="en-GB"/>
        </w:rPr>
        <w:t>The Energy Efficiency Report is enclosed as Annex 2 with the file name:</w:t>
      </w:r>
    </w:p>
    <w:p w14:paraId="7E5DE82C" w14:textId="77777777" w:rsidR="003027B0" w:rsidRDefault="003027B0" w:rsidP="008B6CCF"/>
    <w:p w14:paraId="73A0D8D7" w14:textId="77777777" w:rsidR="000A5D00" w:rsidRDefault="000A5D00" w:rsidP="008B6CCF"/>
    <w:p w14:paraId="7CABAFDB" w14:textId="544ACB2E" w:rsidR="00F9088D" w:rsidRPr="004747C1" w:rsidRDefault="00BB5728" w:rsidP="008964C3">
      <w:pPr>
        <w:pStyle w:val="b3"/>
      </w:pPr>
      <w:bookmarkStart w:id="56" w:name="_Toc122015878"/>
      <w:bookmarkStart w:id="57" w:name="_Ref122101489"/>
      <w:bookmarkStart w:id="58" w:name="_Toc129875196"/>
      <w:r w:rsidRPr="007F75F6">
        <w:rPr>
          <w:lang w:val="en-GB"/>
        </w:rPr>
        <w:t>Energy Efficiency Report for final evaluation</w:t>
      </w:r>
      <w:bookmarkEnd w:id="56"/>
      <w:bookmarkEnd w:id="57"/>
      <w:bookmarkEnd w:id="58"/>
    </w:p>
    <w:p w14:paraId="61865938" w14:textId="353255CF" w:rsidR="00F9088D" w:rsidRPr="00F85B20" w:rsidRDefault="00BB5728" w:rsidP="00F9088D">
      <w:r w:rsidRPr="007F75F6">
        <w:rPr>
          <w:lang w:val="en-GB"/>
        </w:rPr>
        <w:t>The holder of the environmental label must submit an updated Energy Efficiency Report at the latest 6 months before the end of the agreed term of contract in which compliance with the requirements during the term of the contract is documented.</w:t>
      </w:r>
    </w:p>
    <w:p w14:paraId="7A19B280" w14:textId="060A094B" w:rsidR="00F9088D" w:rsidRPr="00F85B20" w:rsidRDefault="00F9088D" w:rsidP="00F9088D">
      <w:r w:rsidRPr="00F85B20">
        <w:fldChar w:fldCharType="begin">
          <w:ffData>
            <w:name w:val="Kontrollkästchen19"/>
            <w:enabled/>
            <w:calcOnExit w:val="0"/>
            <w:checkBox>
              <w:sizeAuto/>
              <w:default w:val="0"/>
            </w:checkBox>
          </w:ffData>
        </w:fldChar>
      </w:r>
      <w:r w:rsidRPr="00F85B20">
        <w:instrText xml:space="preserve"> FORMCHECKBOX </w:instrText>
      </w:r>
      <w:r w:rsidR="000F494F">
        <w:fldChar w:fldCharType="separate"/>
      </w:r>
      <w:r w:rsidRPr="00F85B20">
        <w:fldChar w:fldCharType="end"/>
      </w:r>
      <w:r w:rsidRPr="00F85B20">
        <w:t xml:space="preserve"> </w:t>
      </w:r>
      <w:r w:rsidR="00BB5728" w:rsidRPr="007F75F6">
        <w:rPr>
          <w:lang w:val="en-GB"/>
        </w:rPr>
        <w:t>Annex 2 (this document) should be used for creating the Energy Efficiency Report.</w:t>
      </w:r>
    </w:p>
    <w:p w14:paraId="46E1CDB0" w14:textId="0AA77574" w:rsidR="006210B4" w:rsidRDefault="00BB5728" w:rsidP="00F9088D">
      <w:r w:rsidRPr="007F75F6">
        <w:rPr>
          <w:lang w:val="en-GB"/>
        </w:rPr>
        <w:t>Alternatively:</w:t>
      </w:r>
    </w:p>
    <w:p w14:paraId="5F9CB612" w14:textId="55299DFA" w:rsidR="00860D41" w:rsidRDefault="006210B4" w:rsidP="00FF7070">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BB5728" w:rsidRPr="007F75F6">
        <w:rPr>
          <w:lang w:val="en-GB"/>
        </w:rPr>
        <w:t>The Energy Efficiency Report is enclosed as Annex 2 with the file name:</w:t>
      </w:r>
    </w:p>
    <w:p w14:paraId="1A01C847" w14:textId="77777777" w:rsidR="000A5D00" w:rsidRDefault="000A5D00" w:rsidP="00FF7070"/>
    <w:p w14:paraId="516D094F" w14:textId="79EA68BF" w:rsidR="003027B0" w:rsidRDefault="00664350" w:rsidP="000A5D00">
      <w:pPr>
        <w:pStyle w:val="b2"/>
      </w:pPr>
      <w:bookmarkStart w:id="59" w:name="_Ref105781568"/>
      <w:bookmarkStart w:id="60" w:name="_Ref105781574"/>
      <w:bookmarkStart w:id="61" w:name="_Ref107396386"/>
      <w:bookmarkStart w:id="62" w:name="_Ref107396390"/>
      <w:bookmarkStart w:id="63" w:name="_Ref107396706"/>
      <w:bookmarkStart w:id="64" w:name="_Toc109635680"/>
      <w:r>
        <w:br w:type="page"/>
      </w:r>
      <w:bookmarkStart w:id="65" w:name="_Toc129875197"/>
      <w:bookmarkEnd w:id="59"/>
      <w:bookmarkEnd w:id="60"/>
      <w:bookmarkEnd w:id="61"/>
      <w:bookmarkEnd w:id="62"/>
      <w:bookmarkEnd w:id="63"/>
      <w:bookmarkEnd w:id="64"/>
      <w:r w:rsidR="002C1FFF" w:rsidRPr="007F75F6">
        <w:rPr>
          <w:lang w:val="en-GB"/>
        </w:rPr>
        <w:lastRenderedPageBreak/>
        <w:t xml:space="preserve">Requirements for data </w:t>
      </w:r>
      <w:proofErr w:type="spellStart"/>
      <w:r w:rsidR="002C1FFF" w:rsidRPr="007F75F6">
        <w:rPr>
          <w:lang w:val="en-GB"/>
        </w:rPr>
        <w:t>center</w:t>
      </w:r>
      <w:proofErr w:type="spellEnd"/>
      <w:r w:rsidR="002C1FFF" w:rsidRPr="007F75F6">
        <w:rPr>
          <w:lang w:val="en-GB"/>
        </w:rPr>
        <w:t xml:space="preserve"> operators</w:t>
      </w:r>
      <w:bookmarkEnd w:id="65"/>
    </w:p>
    <w:p w14:paraId="5F0AFA68" w14:textId="3364F6E0" w:rsidR="007B6363" w:rsidRDefault="00CD43C1" w:rsidP="008964C3">
      <w:pPr>
        <w:pStyle w:val="b3"/>
      </w:pPr>
      <w:bookmarkStart w:id="66" w:name="_Ref100833753"/>
      <w:bookmarkStart w:id="67" w:name="_Toc109635681"/>
      <w:bookmarkStart w:id="68" w:name="_Ref112664268"/>
      <w:bookmarkStart w:id="69" w:name="_Ref112664275"/>
      <w:bookmarkStart w:id="70" w:name="_Toc129875198"/>
      <w:r w:rsidRPr="007F75F6">
        <w:rPr>
          <w:lang w:val="en-GB"/>
        </w:rPr>
        <w:t>Measurement concept for the</w:t>
      </w:r>
      <w:bookmarkEnd w:id="66"/>
      <w:r w:rsidRPr="007F75F6">
        <w:rPr>
          <w:lang w:val="en-GB"/>
        </w:rPr>
        <w:t xml:space="preserve"> technical building</w:t>
      </w:r>
      <w:bookmarkEnd w:id="67"/>
      <w:bookmarkEnd w:id="68"/>
      <w:bookmarkEnd w:id="69"/>
      <w:r w:rsidRPr="007F75F6">
        <w:rPr>
          <w:lang w:val="en-GB"/>
        </w:rPr>
        <w:t xml:space="preserve"> equipment</w:t>
      </w:r>
      <w:bookmarkEnd w:id="70"/>
    </w:p>
    <w:p w14:paraId="43355866" w14:textId="4E1CEC4F" w:rsidR="007B6363" w:rsidRPr="000B664E" w:rsidRDefault="0070439D" w:rsidP="006147A9">
      <w:bookmarkStart w:id="71" w:name="_Hlk116562556"/>
      <w:r w:rsidRPr="007F75F6">
        <w:rPr>
          <w:lang w:val="en-GB"/>
        </w:rPr>
        <w:t xml:space="preserve">Several requirements for this ecolabel, which </w:t>
      </w:r>
      <w:proofErr w:type="gramStart"/>
      <w:r w:rsidRPr="007F75F6">
        <w:rPr>
          <w:lang w:val="en-GB"/>
        </w:rPr>
        <w:t>make a contribution</w:t>
      </w:r>
      <w:proofErr w:type="gramEnd"/>
      <w:r w:rsidRPr="007F75F6">
        <w:rPr>
          <w:lang w:val="en-GB"/>
        </w:rPr>
        <w:t xml:space="preserve"> to the efficient use of energy and resources, are based on the monitoring and measurement of multiple parameters. In order to check the calculations for the key performance indicators PUE and CER, a clearly understandable calculation process is required that is based on data from the meters in the measurement concept. The measurement concept must include the following information:</w:t>
      </w:r>
    </w:p>
    <w:bookmarkEnd w:id="71"/>
    <w:p w14:paraId="0FA58303" w14:textId="77777777" w:rsidR="0070439D" w:rsidRPr="007F75F6" w:rsidRDefault="0070439D" w:rsidP="0070439D">
      <w:pPr>
        <w:pStyle w:val="AufzhlungPunkt1"/>
        <w:rPr>
          <w:lang w:val="en-GB"/>
        </w:rPr>
      </w:pPr>
      <w:r w:rsidRPr="007F75F6">
        <w:rPr>
          <w:lang w:val="en-GB"/>
        </w:rPr>
        <w:t xml:space="preserve">Block or schematic diagrams for the electrical energy and cooling systems </w:t>
      </w:r>
    </w:p>
    <w:p w14:paraId="5B9FBE04" w14:textId="77777777" w:rsidR="0070439D" w:rsidRPr="007F75F6" w:rsidRDefault="0070439D" w:rsidP="0070439D">
      <w:pPr>
        <w:pStyle w:val="AufzhlungPunkt1"/>
        <w:rPr>
          <w:lang w:val="en-GB"/>
        </w:rPr>
      </w:pPr>
      <w:r w:rsidRPr="007F75F6">
        <w:rPr>
          <w:lang w:val="en-GB"/>
        </w:rPr>
        <w:t>Designations for the measurement points or meters in the block or schematic diagrams</w:t>
      </w:r>
    </w:p>
    <w:p w14:paraId="3627F96C" w14:textId="1A497493" w:rsidR="007B6363" w:rsidRPr="00760C9A" w:rsidRDefault="0070439D" w:rsidP="0070439D">
      <w:pPr>
        <w:pStyle w:val="AufzhlungPunkt1"/>
      </w:pPr>
      <w:r w:rsidRPr="007F75F6">
        <w:rPr>
          <w:lang w:val="en-GB"/>
        </w:rPr>
        <w:t>Description of the calculations for PUE, CER, ERF and WUE with reference to the measurement points or meters.</w:t>
      </w:r>
    </w:p>
    <w:p w14:paraId="36987AA1" w14:textId="2DC2CE37" w:rsidR="003624D2" w:rsidRPr="000B664E" w:rsidRDefault="0070439D" w:rsidP="009662B2">
      <w:r w:rsidRPr="007F75F6">
        <w:rPr>
          <w:lang w:val="en-GB"/>
        </w:rPr>
        <w:t>A block schematic diagram is a simplified illustration of the existing technical equipment, the connections between the systems and the associated meters. Planning documents are generally unsuitable for the measurement concept because they contain too many details and the measurement points are often either not included or are difficult to identify. If you want to nevertheless still use planning documents, please ensure that the measurement points are easy to identify (e.g. by marking them) and correctly labelled. Appendix A of the Basic Award Criteria describes the required measurement points.</w:t>
      </w:r>
    </w:p>
    <w:p w14:paraId="12A53687" w14:textId="77777777" w:rsidR="00CA3D95" w:rsidRPr="000B664E" w:rsidRDefault="00CA3D95" w:rsidP="009662B2"/>
    <w:p w14:paraId="672989D2" w14:textId="17C3D52A" w:rsidR="00CA3D95" w:rsidRPr="000B664E"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0F494F">
        <w:fldChar w:fldCharType="separate"/>
      </w:r>
      <w:r w:rsidRPr="00F85B20">
        <w:fldChar w:fldCharType="end"/>
      </w:r>
      <w:r w:rsidRPr="00F85B20">
        <w:t xml:space="preserve"> </w:t>
      </w:r>
      <w:r w:rsidR="0070439D" w:rsidRPr="007F75F6">
        <w:rPr>
          <w:lang w:val="en-GB"/>
        </w:rPr>
        <w:t>The latest measurement concept for the electricity distribution is enclosed as Annex 3.2 with the file name:</w:t>
      </w:r>
    </w:p>
    <w:p w14:paraId="3F9920A5" w14:textId="77777777" w:rsidR="00CA3D95" w:rsidRPr="000B664E" w:rsidRDefault="00CA3D95" w:rsidP="009662B2"/>
    <w:p w14:paraId="70862E3C" w14:textId="77777777" w:rsidR="00B63B6B" w:rsidRDefault="00B63B6B" w:rsidP="009662B2"/>
    <w:p w14:paraId="66A89AE5" w14:textId="56B15A04" w:rsidR="00CA3D95" w:rsidRPr="004747C1"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0F494F">
        <w:fldChar w:fldCharType="separate"/>
      </w:r>
      <w:r w:rsidRPr="00F85B20">
        <w:fldChar w:fldCharType="end"/>
      </w:r>
      <w:r w:rsidRPr="00F85B20">
        <w:t xml:space="preserve"> </w:t>
      </w:r>
      <w:r w:rsidR="0070439D" w:rsidRPr="007F75F6">
        <w:rPr>
          <w:lang w:val="en-GB"/>
        </w:rPr>
        <w:t>The latest measurement concept for the cooling distribution is enclosed as Annex 3.3 with the file name:</w:t>
      </w:r>
    </w:p>
    <w:p w14:paraId="6D4B40FE" w14:textId="77777777" w:rsidR="00CA3D95" w:rsidRDefault="00CA3D95" w:rsidP="009662B2"/>
    <w:p w14:paraId="7B094F80" w14:textId="77777777" w:rsidR="00751F55" w:rsidRDefault="00751F55" w:rsidP="009662B2"/>
    <w:p w14:paraId="2F3BCBD3" w14:textId="3BD9DCEC" w:rsidR="00C813E9" w:rsidRPr="004747C1" w:rsidRDefault="0070439D" w:rsidP="008964C3">
      <w:pPr>
        <w:pStyle w:val="b3"/>
      </w:pPr>
      <w:bookmarkStart w:id="72" w:name="_Ref100833759"/>
      <w:bookmarkStart w:id="73" w:name="_Toc109635682"/>
      <w:bookmarkStart w:id="74" w:name="_Toc129875199"/>
      <w:r w:rsidRPr="007F75F6">
        <w:rPr>
          <w:lang w:val="en-GB"/>
        </w:rPr>
        <w:t>Monitoring energy, air conditioning and water</w:t>
      </w:r>
      <w:bookmarkEnd w:id="72"/>
      <w:bookmarkEnd w:id="73"/>
      <w:bookmarkEnd w:id="74"/>
    </w:p>
    <w:p w14:paraId="24072DE7" w14:textId="25B043DA" w:rsidR="00C813E9" w:rsidRPr="004747C1" w:rsidRDefault="0070439D" w:rsidP="00C813E9">
      <w:pPr>
        <w:spacing w:before="60" w:after="120" w:line="280" w:lineRule="atLeast"/>
      </w:pPr>
      <w:r w:rsidRPr="007F75F6">
        <w:rPr>
          <w:lang w:val="en-GB"/>
        </w:rPr>
        <w:t xml:space="preserve">Monitoring must be carried out by the applicant in which measurements of the electrical output and the energy consumption of the important components of the data </w:t>
      </w:r>
      <w:proofErr w:type="spellStart"/>
      <w:r w:rsidRPr="007F75F6">
        <w:rPr>
          <w:lang w:val="en-GB"/>
        </w:rPr>
        <w:t>center</w:t>
      </w:r>
      <w:proofErr w:type="spellEnd"/>
      <w:r w:rsidRPr="007F75F6">
        <w:rPr>
          <w:lang w:val="en-GB"/>
        </w:rPr>
        <w:t xml:space="preserve">, as well as the cooling and water consumption, are recorded and evaluated continuously throughout the whole year. Regular measurements must be taken at </w:t>
      </w:r>
      <w:proofErr w:type="spellStart"/>
      <w:r w:rsidRPr="007F75F6">
        <w:rPr>
          <w:lang w:val="en-GB"/>
        </w:rPr>
        <w:t>at</w:t>
      </w:r>
      <w:proofErr w:type="spellEnd"/>
      <w:r w:rsidRPr="007F75F6">
        <w:rPr>
          <w:lang w:val="en-GB"/>
        </w:rPr>
        <w:t xml:space="preserve"> least those measurement points (MPs) described in the measurement concept.</w:t>
      </w:r>
    </w:p>
    <w:p w14:paraId="4278BF00" w14:textId="77777777" w:rsidR="008C5C90" w:rsidRDefault="008C5C90">
      <w:pPr>
        <w:spacing w:line="240" w:lineRule="auto"/>
        <w:jc w:val="left"/>
      </w:pPr>
      <w:r>
        <w:br w:type="page"/>
      </w:r>
    </w:p>
    <w:p w14:paraId="2D4432CD" w14:textId="63B6CDE5" w:rsidR="00C813E9" w:rsidRPr="004747C1" w:rsidRDefault="0070439D" w:rsidP="00C813E9">
      <w:pPr>
        <w:spacing w:before="60" w:after="120" w:line="280" w:lineRule="atLeast"/>
      </w:pPr>
      <w:r w:rsidRPr="007F75F6">
        <w:rPr>
          <w:lang w:val="en-GB"/>
        </w:rPr>
        <w:lastRenderedPageBreak/>
        <w:t>The following values must be determined as a result of this monitoring on at least a monthly basis:</w:t>
      </w:r>
    </w:p>
    <w:p w14:paraId="76C3AA45" w14:textId="77777777" w:rsidR="0070439D" w:rsidRPr="007F75F6" w:rsidRDefault="0070439D" w:rsidP="0070439D">
      <w:pPr>
        <w:pStyle w:val="AufzhlungPunkt1"/>
        <w:rPr>
          <w:lang w:val="en-GB"/>
        </w:rPr>
      </w:pPr>
      <w:r w:rsidRPr="007F75F6">
        <w:rPr>
          <w:lang w:val="en-GB"/>
        </w:rPr>
        <w:t xml:space="preserve">Electricity consumption (volume of electricity) of the entire data </w:t>
      </w:r>
      <w:proofErr w:type="spellStart"/>
      <w:r w:rsidRPr="007F75F6">
        <w:rPr>
          <w:lang w:val="en-GB"/>
        </w:rPr>
        <w:t>center</w:t>
      </w:r>
      <w:proofErr w:type="spellEnd"/>
      <w:r w:rsidRPr="007F75F6">
        <w:rPr>
          <w:lang w:val="en-GB"/>
        </w:rPr>
        <w:t xml:space="preserve"> (MP</w:t>
      </w:r>
      <w:r w:rsidRPr="007F75F6">
        <w:rPr>
          <w:vertAlign w:val="subscript"/>
          <w:lang w:val="en-GB"/>
        </w:rPr>
        <w:t>ESC</w:t>
      </w:r>
      <w:r w:rsidRPr="007F75F6">
        <w:rPr>
          <w:lang w:val="en-GB"/>
        </w:rPr>
        <w:t xml:space="preserve"> + MP</w:t>
      </w:r>
      <w:r w:rsidRPr="007F75F6">
        <w:rPr>
          <w:vertAlign w:val="subscript"/>
          <w:lang w:val="en-GB"/>
        </w:rPr>
        <w:t>OSG</w:t>
      </w:r>
      <w:r w:rsidRPr="007F75F6">
        <w:rPr>
          <w:lang w:val="en-GB"/>
        </w:rPr>
        <w:t xml:space="preserve"> + MP</w:t>
      </w:r>
      <w:r w:rsidRPr="007F75F6">
        <w:rPr>
          <w:vertAlign w:val="subscript"/>
          <w:lang w:val="en-GB"/>
        </w:rPr>
        <w:t>EPS</w:t>
      </w:r>
      <w:r w:rsidRPr="007F75F6">
        <w:rPr>
          <w:lang w:val="en-GB"/>
        </w:rPr>
        <w:t>) [</w:t>
      </w:r>
      <w:proofErr w:type="spellStart"/>
      <w:r w:rsidRPr="007F75F6">
        <w:rPr>
          <w:lang w:val="en-GB"/>
        </w:rPr>
        <w:t>kWh</w:t>
      </w:r>
      <w:r w:rsidRPr="007F75F6">
        <w:rPr>
          <w:vertAlign w:val="subscript"/>
          <w:lang w:val="en-GB"/>
        </w:rPr>
        <w:t>el</w:t>
      </w:r>
      <w:proofErr w:type="spellEnd"/>
      <w:r w:rsidRPr="007F75F6">
        <w:rPr>
          <w:lang w:val="en-GB"/>
        </w:rPr>
        <w:t xml:space="preserve">] </w:t>
      </w:r>
    </w:p>
    <w:p w14:paraId="4B680410" w14:textId="77777777" w:rsidR="0070439D" w:rsidRPr="007F75F6" w:rsidRDefault="0070439D" w:rsidP="0070439D">
      <w:pPr>
        <w:pStyle w:val="AufzhlungPunkt1"/>
        <w:rPr>
          <w:lang w:val="en-GB"/>
        </w:rPr>
      </w:pPr>
      <w:r w:rsidRPr="007F75F6">
        <w:rPr>
          <w:lang w:val="en-GB"/>
        </w:rPr>
        <w:t>Electricity consumption (volume of electricity) of the IT (MP</w:t>
      </w:r>
      <w:r w:rsidRPr="007F75F6">
        <w:rPr>
          <w:vertAlign w:val="subscript"/>
          <w:lang w:val="en-GB"/>
        </w:rPr>
        <w:t>IT2</w:t>
      </w:r>
      <w:r w:rsidRPr="007F75F6">
        <w:rPr>
          <w:lang w:val="en-GB"/>
        </w:rPr>
        <w:t>) [</w:t>
      </w:r>
      <w:proofErr w:type="spellStart"/>
      <w:r w:rsidRPr="007F75F6">
        <w:rPr>
          <w:lang w:val="en-GB"/>
        </w:rPr>
        <w:t>kWh</w:t>
      </w:r>
      <w:r w:rsidRPr="007F75F6">
        <w:rPr>
          <w:vertAlign w:val="subscript"/>
          <w:lang w:val="en-GB"/>
        </w:rPr>
        <w:t>el</w:t>
      </w:r>
      <w:proofErr w:type="spellEnd"/>
      <w:r w:rsidRPr="007F75F6">
        <w:rPr>
          <w:lang w:val="en-GB"/>
        </w:rPr>
        <w:t>]</w:t>
      </w:r>
      <w:r w:rsidRPr="007F75F6">
        <w:rPr>
          <w:vertAlign w:val="superscript"/>
          <w:lang w:val="en-GB"/>
        </w:rPr>
        <w:footnoteReference w:id="4"/>
      </w:r>
    </w:p>
    <w:p w14:paraId="7070C256" w14:textId="77777777" w:rsidR="0070439D" w:rsidRPr="007F75F6" w:rsidRDefault="0070439D" w:rsidP="0070439D">
      <w:pPr>
        <w:pStyle w:val="AufzhlungPunkt1"/>
        <w:rPr>
          <w:lang w:val="en-GB"/>
        </w:rPr>
      </w:pPr>
      <w:r w:rsidRPr="007F75F6">
        <w:rPr>
          <w:lang w:val="en-GB"/>
        </w:rPr>
        <w:t>Electricity consumption (volume of electricity) of the cooling system (MP</w:t>
      </w:r>
      <w:r w:rsidRPr="007F75F6">
        <w:rPr>
          <w:vertAlign w:val="subscript"/>
          <w:lang w:val="en-GB"/>
        </w:rPr>
        <w:t>CS</w:t>
      </w:r>
      <w:r w:rsidRPr="007F75F6">
        <w:rPr>
          <w:lang w:val="en-GB"/>
        </w:rPr>
        <w:t>) [</w:t>
      </w:r>
      <w:proofErr w:type="spellStart"/>
      <w:r w:rsidRPr="007F75F6">
        <w:rPr>
          <w:lang w:val="en-GB"/>
        </w:rPr>
        <w:t>kWh</w:t>
      </w:r>
      <w:r w:rsidRPr="007F75F6">
        <w:rPr>
          <w:vertAlign w:val="subscript"/>
          <w:lang w:val="en-GB"/>
        </w:rPr>
        <w:t>el</w:t>
      </w:r>
      <w:proofErr w:type="spellEnd"/>
      <w:r w:rsidRPr="007F75F6">
        <w:rPr>
          <w:lang w:val="en-GB"/>
        </w:rPr>
        <w:t xml:space="preserve">] </w:t>
      </w:r>
    </w:p>
    <w:p w14:paraId="30DC45FE" w14:textId="77777777" w:rsidR="0070439D" w:rsidRPr="007F75F6" w:rsidRDefault="0070439D" w:rsidP="0070439D">
      <w:pPr>
        <w:pStyle w:val="AufzhlungPunkt1"/>
        <w:rPr>
          <w:lang w:val="en-GB"/>
        </w:rPr>
      </w:pPr>
      <w:r w:rsidRPr="007F75F6">
        <w:rPr>
          <w:lang w:val="en-GB"/>
        </w:rPr>
        <w:t>Electricity consumption (volume of electricity) of other consumers (MP</w:t>
      </w:r>
      <w:r w:rsidRPr="007F75F6">
        <w:rPr>
          <w:vertAlign w:val="subscript"/>
          <w:lang w:val="en-GB"/>
        </w:rPr>
        <w:t>OC</w:t>
      </w:r>
      <w:r w:rsidRPr="007F75F6">
        <w:rPr>
          <w:lang w:val="en-GB"/>
        </w:rPr>
        <w:t>) [</w:t>
      </w:r>
      <w:proofErr w:type="spellStart"/>
      <w:r w:rsidRPr="007F75F6">
        <w:rPr>
          <w:lang w:val="en-GB"/>
        </w:rPr>
        <w:t>kWh</w:t>
      </w:r>
      <w:r w:rsidRPr="007F75F6">
        <w:rPr>
          <w:vertAlign w:val="subscript"/>
          <w:lang w:val="en-GB"/>
        </w:rPr>
        <w:t>el</w:t>
      </w:r>
      <w:proofErr w:type="spellEnd"/>
      <w:r w:rsidRPr="007F75F6">
        <w:rPr>
          <w:lang w:val="en-GB"/>
        </w:rPr>
        <w:t>] (e.g. safety technology, lighting)</w:t>
      </w:r>
    </w:p>
    <w:p w14:paraId="0D75F8B8" w14:textId="77777777" w:rsidR="0070439D" w:rsidRPr="007F75F6" w:rsidRDefault="0070439D" w:rsidP="0070439D">
      <w:pPr>
        <w:pStyle w:val="AufzhlungPunkt1"/>
        <w:rPr>
          <w:lang w:val="en-GB"/>
        </w:rPr>
      </w:pPr>
      <w:r w:rsidRPr="007F75F6">
        <w:rPr>
          <w:lang w:val="en-GB"/>
        </w:rPr>
        <w:t>Electrical energy (volume of electricity) from own generation (e.g. PV system) [</w:t>
      </w:r>
      <w:proofErr w:type="spellStart"/>
      <w:r w:rsidRPr="007F75F6">
        <w:rPr>
          <w:lang w:val="en-GB"/>
        </w:rPr>
        <w:t>kWh</w:t>
      </w:r>
      <w:r w:rsidRPr="007F75F6">
        <w:rPr>
          <w:vertAlign w:val="subscript"/>
          <w:lang w:val="en-GB"/>
        </w:rPr>
        <w:t>el</w:t>
      </w:r>
      <w:proofErr w:type="spellEnd"/>
      <w:r w:rsidRPr="007F75F6">
        <w:rPr>
          <w:lang w:val="en-GB"/>
        </w:rPr>
        <w:t>]</w:t>
      </w:r>
    </w:p>
    <w:p w14:paraId="01D35D59" w14:textId="77777777" w:rsidR="0070439D" w:rsidRPr="007F75F6" w:rsidRDefault="0070439D" w:rsidP="0070439D">
      <w:pPr>
        <w:pStyle w:val="AufzhlungPunkt1"/>
        <w:rPr>
          <w:lang w:val="en-GB"/>
        </w:rPr>
      </w:pPr>
      <w:r w:rsidRPr="007F75F6">
        <w:rPr>
          <w:lang w:val="en-GB"/>
        </w:rPr>
        <w:t>Cooling energy generated (MP</w:t>
      </w:r>
      <w:r w:rsidRPr="007F75F6">
        <w:rPr>
          <w:vertAlign w:val="subscript"/>
          <w:lang w:val="en-GB"/>
        </w:rPr>
        <w:t>CE</w:t>
      </w:r>
      <w:r w:rsidRPr="007F75F6">
        <w:rPr>
          <w:lang w:val="en-GB"/>
        </w:rPr>
        <w:t>) [</w:t>
      </w:r>
      <w:proofErr w:type="spellStart"/>
      <w:r w:rsidRPr="007F75F6">
        <w:rPr>
          <w:lang w:val="en-GB"/>
        </w:rPr>
        <w:t>kWh</w:t>
      </w:r>
      <w:r w:rsidRPr="007F75F6">
        <w:rPr>
          <w:vertAlign w:val="subscript"/>
          <w:lang w:val="en-GB"/>
        </w:rPr>
        <w:t>th</w:t>
      </w:r>
      <w:proofErr w:type="spellEnd"/>
      <w:r w:rsidRPr="007F75F6">
        <w:rPr>
          <w:lang w:val="en-GB"/>
        </w:rPr>
        <w:t>]</w:t>
      </w:r>
    </w:p>
    <w:p w14:paraId="24B0E325" w14:textId="77777777" w:rsidR="0070439D" w:rsidRPr="007F75F6" w:rsidRDefault="0070439D" w:rsidP="0070439D">
      <w:pPr>
        <w:pStyle w:val="AufzhlungPunkt1"/>
        <w:rPr>
          <w:lang w:val="en-GB"/>
        </w:rPr>
      </w:pPr>
      <w:r w:rsidRPr="007F75F6">
        <w:rPr>
          <w:lang w:val="en-GB"/>
        </w:rPr>
        <w:t xml:space="preserve">Waste heat utilisation in the entire data </w:t>
      </w:r>
      <w:proofErr w:type="spellStart"/>
      <w:r w:rsidRPr="007F75F6">
        <w:rPr>
          <w:lang w:val="en-GB"/>
        </w:rPr>
        <w:t>center</w:t>
      </w:r>
      <w:proofErr w:type="spellEnd"/>
      <w:r w:rsidRPr="007F75F6">
        <w:rPr>
          <w:lang w:val="en-GB"/>
        </w:rPr>
        <w:t xml:space="preserve"> (MP</w:t>
      </w:r>
      <w:r w:rsidRPr="007F75F6">
        <w:rPr>
          <w:vertAlign w:val="subscript"/>
          <w:lang w:val="en-GB"/>
        </w:rPr>
        <w:t>DC</w:t>
      </w:r>
      <w:r w:rsidRPr="007F75F6">
        <w:rPr>
          <w:lang w:val="en-GB"/>
        </w:rPr>
        <w:t>) [</w:t>
      </w:r>
      <w:proofErr w:type="spellStart"/>
      <w:r w:rsidRPr="007F75F6">
        <w:rPr>
          <w:lang w:val="en-GB"/>
        </w:rPr>
        <w:t>kWh</w:t>
      </w:r>
      <w:r w:rsidRPr="007F75F6">
        <w:rPr>
          <w:vertAlign w:val="subscript"/>
          <w:lang w:val="en-GB"/>
        </w:rPr>
        <w:t>th</w:t>
      </w:r>
      <w:proofErr w:type="spellEnd"/>
      <w:r w:rsidRPr="007F75F6">
        <w:rPr>
          <w:lang w:val="en-GB"/>
        </w:rPr>
        <w:t>]</w:t>
      </w:r>
    </w:p>
    <w:p w14:paraId="3106C4AE" w14:textId="77777777" w:rsidR="0070439D" w:rsidRPr="007F75F6" w:rsidRDefault="0070439D" w:rsidP="0070439D">
      <w:pPr>
        <w:pStyle w:val="AufzhlungPunkt1"/>
        <w:rPr>
          <w:lang w:val="en-GB"/>
        </w:rPr>
      </w:pPr>
      <w:r w:rsidRPr="007F75F6">
        <w:rPr>
          <w:lang w:val="en-GB"/>
        </w:rPr>
        <w:t>Waste heat utilisation (MP</w:t>
      </w:r>
      <w:r w:rsidRPr="007F75F6">
        <w:rPr>
          <w:vertAlign w:val="subscript"/>
          <w:lang w:val="en-GB"/>
        </w:rPr>
        <w:t>WHU</w:t>
      </w:r>
      <w:r w:rsidRPr="007F75F6">
        <w:rPr>
          <w:lang w:val="en-GB"/>
        </w:rPr>
        <w:t>) [</w:t>
      </w:r>
      <w:proofErr w:type="spellStart"/>
      <w:r w:rsidRPr="007F75F6">
        <w:rPr>
          <w:lang w:val="en-GB"/>
        </w:rPr>
        <w:t>kWh</w:t>
      </w:r>
      <w:r w:rsidRPr="007F75F6">
        <w:rPr>
          <w:vertAlign w:val="subscript"/>
          <w:lang w:val="en-GB"/>
        </w:rPr>
        <w:t>th</w:t>
      </w:r>
      <w:proofErr w:type="spellEnd"/>
      <w:r w:rsidRPr="007F75F6">
        <w:rPr>
          <w:lang w:val="en-GB"/>
        </w:rPr>
        <w:t>]</w:t>
      </w:r>
    </w:p>
    <w:p w14:paraId="6BB42791" w14:textId="77777777" w:rsidR="0070439D" w:rsidRPr="007F75F6" w:rsidRDefault="0070439D" w:rsidP="0070439D">
      <w:pPr>
        <w:pStyle w:val="AufzhlungPunkt1"/>
        <w:rPr>
          <w:lang w:val="en-GB"/>
        </w:rPr>
      </w:pPr>
      <w:r w:rsidRPr="007F75F6">
        <w:rPr>
          <w:lang w:val="en-GB"/>
        </w:rPr>
        <w:t>Drinking water consumption by cooling systems with evaporative cooling [m³]</w:t>
      </w:r>
    </w:p>
    <w:p w14:paraId="795ED624" w14:textId="77777777" w:rsidR="0070439D" w:rsidRPr="007F75F6" w:rsidRDefault="0070439D" w:rsidP="0070439D">
      <w:pPr>
        <w:pStyle w:val="AufzhlungPunkt1"/>
        <w:rPr>
          <w:i/>
          <w:lang w:val="en-GB"/>
        </w:rPr>
      </w:pPr>
      <w:r w:rsidRPr="007F75F6">
        <w:rPr>
          <w:lang w:val="en-GB"/>
        </w:rPr>
        <w:t>Description of the use of other water sources (e.g. rain water, well water, river water) with approximate volumes [m³]</w:t>
      </w:r>
    </w:p>
    <w:p w14:paraId="3932EA48" w14:textId="464A15A5" w:rsidR="00C813E9" w:rsidRPr="00760C9A" w:rsidRDefault="0070439D" w:rsidP="0070439D">
      <w:pPr>
        <w:pStyle w:val="AufzhlungPunkt1"/>
      </w:pPr>
      <w:r w:rsidRPr="007F75F6">
        <w:rPr>
          <w:lang w:val="en-GB"/>
        </w:rPr>
        <w:t>Other non-electrical energy consumption and the type of fuel (e.g. consumption of fuel by the emergency power system, use of district heating or district cooling)</w:t>
      </w:r>
    </w:p>
    <w:p w14:paraId="71529908" w14:textId="77777777" w:rsidR="009662B2" w:rsidRDefault="009662B2" w:rsidP="00E20EF5"/>
    <w:p w14:paraId="08C5C6B0" w14:textId="40FA9903" w:rsidR="00E20EF5" w:rsidRDefault="0070439D" w:rsidP="00E20EF5">
      <w:r w:rsidRPr="007F75F6">
        <w:rPr>
          <w:b/>
          <w:lang w:val="en-GB"/>
        </w:rPr>
        <w:t>Note</w:t>
      </w:r>
      <w:r w:rsidRPr="007F75F6">
        <w:rPr>
          <w:lang w:val="en-GB"/>
        </w:rPr>
        <w:t xml:space="preserve">: If some of the measurement points for the data </w:t>
      </w:r>
      <w:proofErr w:type="spellStart"/>
      <w:r w:rsidRPr="007F75F6">
        <w:rPr>
          <w:lang w:val="en-GB"/>
        </w:rPr>
        <w:t>center</w:t>
      </w:r>
      <w:proofErr w:type="spellEnd"/>
      <w:r w:rsidRPr="007F75F6">
        <w:rPr>
          <w:lang w:val="en-GB"/>
        </w:rPr>
        <w:t xml:space="preserve"> described above do not apply to the data </w:t>
      </w:r>
      <w:proofErr w:type="spellStart"/>
      <w:r w:rsidRPr="007F75F6">
        <w:rPr>
          <w:lang w:val="en-GB"/>
        </w:rPr>
        <w:t>center</w:t>
      </w:r>
      <w:proofErr w:type="spellEnd"/>
      <w:r w:rsidRPr="007F75F6">
        <w:rPr>
          <w:lang w:val="en-GB"/>
        </w:rPr>
        <w:t xml:space="preserve"> (e.g. own generation, drinking water consumption, fuel consumption), each of these values can be set to zero.</w:t>
      </w:r>
    </w:p>
    <w:p w14:paraId="26640E4E" w14:textId="77777777" w:rsidR="00E20EF5" w:rsidRDefault="00E20EF5" w:rsidP="00B95C28"/>
    <w:p w14:paraId="67857AEF" w14:textId="34E4ADB3" w:rsidR="003027CD" w:rsidRPr="00E80289" w:rsidRDefault="003027CD" w:rsidP="003027CD">
      <w:pPr>
        <w:spacing w:line="36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8E041D" w:rsidRPr="007F75F6">
        <w:rPr>
          <w:lang w:val="en-GB"/>
        </w:rPr>
        <w:t>The latest monitoring system is presented in Annex 3.4.</w:t>
      </w:r>
    </w:p>
    <w:p w14:paraId="06CA104C" w14:textId="20F0129E" w:rsidR="006210B4" w:rsidRDefault="008E041D" w:rsidP="006210B4">
      <w:r w:rsidRPr="007F75F6">
        <w:rPr>
          <w:lang w:val="en-GB"/>
        </w:rPr>
        <w:t>Alternatively:</w:t>
      </w:r>
    </w:p>
    <w:p w14:paraId="10DFF58D" w14:textId="3FC00027" w:rsidR="003027CD" w:rsidRDefault="006210B4" w:rsidP="006210B4">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8E041D" w:rsidRPr="007F75F6">
        <w:rPr>
          <w:lang w:val="en-GB"/>
        </w:rPr>
        <w:t>The monitoring system is enclosed as Annex 3.4 with the file name:</w:t>
      </w:r>
    </w:p>
    <w:p w14:paraId="7ADBCFB3" w14:textId="77777777" w:rsidR="009208AD" w:rsidRDefault="009208AD" w:rsidP="006210B4"/>
    <w:p w14:paraId="5DBC100B" w14:textId="77777777" w:rsidR="009208AD" w:rsidRDefault="009208AD" w:rsidP="00B95C28"/>
    <w:p w14:paraId="12C06651" w14:textId="026F7D7B" w:rsidR="001B780B" w:rsidRDefault="008E041D" w:rsidP="008964C3">
      <w:pPr>
        <w:pStyle w:val="b3"/>
      </w:pPr>
      <w:bookmarkStart w:id="75" w:name="_Ref106005624"/>
      <w:bookmarkStart w:id="76" w:name="_Ref107830500"/>
      <w:bookmarkStart w:id="77" w:name="_Toc109635683"/>
      <w:bookmarkStart w:id="78" w:name="_Toc129875200"/>
      <w:r w:rsidRPr="007F75F6">
        <w:rPr>
          <w:lang w:val="en-GB"/>
        </w:rPr>
        <w:t xml:space="preserve">Inventory list for the </w:t>
      </w:r>
      <w:bookmarkEnd w:id="75"/>
      <w:r w:rsidRPr="007F75F6">
        <w:rPr>
          <w:lang w:val="en-GB"/>
        </w:rPr>
        <w:t>cooling technology and energy provision</w:t>
      </w:r>
      <w:bookmarkEnd w:id="76"/>
      <w:bookmarkEnd w:id="77"/>
      <w:bookmarkEnd w:id="78"/>
    </w:p>
    <w:p w14:paraId="7A21EF9D" w14:textId="02279472" w:rsidR="001B780B" w:rsidRDefault="008E041D" w:rsidP="009662B2">
      <w:r w:rsidRPr="007F75F6">
        <w:rPr>
          <w:lang w:val="en-GB"/>
        </w:rPr>
        <w:t xml:space="preserve">The applicant must submit an inventory list containing all of the technical building equipment installed in the data </w:t>
      </w:r>
      <w:proofErr w:type="spellStart"/>
      <w:r w:rsidRPr="007F75F6">
        <w:rPr>
          <w:lang w:val="en-GB"/>
        </w:rPr>
        <w:t>center</w:t>
      </w:r>
      <w:proofErr w:type="spellEnd"/>
      <w:r w:rsidRPr="007F75F6">
        <w:rPr>
          <w:lang w:val="en-GB"/>
        </w:rPr>
        <w:t>.</w:t>
      </w:r>
    </w:p>
    <w:p w14:paraId="02F2511A" w14:textId="77777777" w:rsidR="009208AD" w:rsidRDefault="009208AD" w:rsidP="009662B2"/>
    <w:p w14:paraId="251DF7B0" w14:textId="29E64613" w:rsidR="001B780B" w:rsidRPr="00976035" w:rsidRDefault="008E041D" w:rsidP="009662B2">
      <w:r w:rsidRPr="007F75F6">
        <w:rPr>
          <w:lang w:val="en-GB"/>
        </w:rPr>
        <w:t>The inventory list must contain at least the following components and their important properties:</w:t>
      </w:r>
    </w:p>
    <w:p w14:paraId="09B3D8FC" w14:textId="41A3FA32" w:rsidR="001B780B" w:rsidRPr="00760C9A" w:rsidRDefault="008E041D" w:rsidP="009662B2">
      <w:pPr>
        <w:pStyle w:val="AufzhlungPunkt1"/>
      </w:pPr>
      <w:r w:rsidRPr="007F75F6">
        <w:rPr>
          <w:lang w:val="en-GB"/>
        </w:rPr>
        <w:t>Cooling technology components</w:t>
      </w:r>
    </w:p>
    <w:p w14:paraId="5397EEF2" w14:textId="28674631" w:rsidR="001B780B" w:rsidRPr="00760C9A" w:rsidRDefault="008E041D" w:rsidP="009662B2">
      <w:pPr>
        <w:pStyle w:val="AufzhlungPunkt1"/>
      </w:pPr>
      <w:r w:rsidRPr="007F75F6">
        <w:rPr>
          <w:lang w:val="en-GB"/>
        </w:rPr>
        <w:t>UPS systems</w:t>
      </w:r>
    </w:p>
    <w:p w14:paraId="06B6AAFC" w14:textId="21228B9D" w:rsidR="001B780B" w:rsidRPr="00760C9A" w:rsidRDefault="008E041D" w:rsidP="009662B2">
      <w:pPr>
        <w:pStyle w:val="AufzhlungPunkt1"/>
      </w:pPr>
      <w:r w:rsidRPr="007F75F6">
        <w:rPr>
          <w:lang w:val="en-GB"/>
        </w:rPr>
        <w:t>Electrical switching systems</w:t>
      </w:r>
    </w:p>
    <w:p w14:paraId="28CA3CB2" w14:textId="3FA3993E" w:rsidR="001B780B" w:rsidRPr="00760C9A" w:rsidRDefault="008E041D" w:rsidP="009662B2">
      <w:pPr>
        <w:pStyle w:val="AufzhlungPunkt1"/>
      </w:pPr>
      <w:r w:rsidRPr="007F75F6">
        <w:rPr>
          <w:lang w:val="en-GB"/>
        </w:rPr>
        <w:t>Emergency power systems (incl. fuel storage)</w:t>
      </w:r>
    </w:p>
    <w:p w14:paraId="71874683" w14:textId="4E0F3411" w:rsidR="001B780B" w:rsidRPr="003961FB" w:rsidRDefault="008E041D" w:rsidP="009662B2">
      <w:r w:rsidRPr="007F75F6">
        <w:rPr>
          <w:lang w:val="en-GB"/>
        </w:rPr>
        <w:t>The applicant must add any new acquisitions to the inventory list so that the current equipment is always documented.</w:t>
      </w:r>
    </w:p>
    <w:p w14:paraId="6DA9053A" w14:textId="77777777" w:rsidR="001B780B" w:rsidRDefault="001B780B" w:rsidP="009662B2"/>
    <w:p w14:paraId="083A62CE" w14:textId="194F2CDA" w:rsidR="001B780B" w:rsidRPr="00E80289" w:rsidRDefault="001B780B" w:rsidP="001B780B">
      <w:pPr>
        <w:spacing w:line="360" w:lineRule="auto"/>
        <w:jc w:val="left"/>
      </w:pPr>
      <w:r w:rsidRPr="001806FC">
        <w:lastRenderedPageBreak/>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8E041D" w:rsidRPr="007F75F6">
        <w:rPr>
          <w:lang w:val="en-GB"/>
        </w:rPr>
        <w:t>The latest inventory list of the technical equipment is presented in Annex 3.5.</w:t>
      </w:r>
    </w:p>
    <w:p w14:paraId="42ED3F7E" w14:textId="008B7A17" w:rsidR="006210B4" w:rsidRDefault="008E041D" w:rsidP="009662B2">
      <w:r w:rsidRPr="007F75F6">
        <w:rPr>
          <w:lang w:val="en-GB"/>
        </w:rPr>
        <w:t>Alternatively:</w:t>
      </w:r>
    </w:p>
    <w:p w14:paraId="22A9A9A1" w14:textId="2E453C3D" w:rsidR="001B780B"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8E041D" w:rsidRPr="007F75F6">
        <w:rPr>
          <w:lang w:val="en-GB"/>
        </w:rPr>
        <w:t>The inventory list of the technical equipment is enclosed as Annex 3.5 with the file name:</w:t>
      </w:r>
    </w:p>
    <w:p w14:paraId="61DD4BB2" w14:textId="77777777" w:rsidR="001B780B" w:rsidRDefault="001B780B" w:rsidP="009662B2"/>
    <w:p w14:paraId="01ADCD13" w14:textId="77777777" w:rsidR="00D779E0" w:rsidRDefault="00D779E0" w:rsidP="001B780B">
      <w:pPr>
        <w:spacing w:line="240" w:lineRule="auto"/>
        <w:jc w:val="left"/>
      </w:pPr>
    </w:p>
    <w:p w14:paraId="03A10A7A" w14:textId="3B39C107" w:rsidR="00E52488" w:rsidRPr="004747C1" w:rsidRDefault="008E041D" w:rsidP="008964C3">
      <w:pPr>
        <w:pStyle w:val="b3"/>
      </w:pPr>
      <w:bookmarkStart w:id="79" w:name="_Ref107402756"/>
      <w:bookmarkStart w:id="80" w:name="_Toc109635684"/>
      <w:bookmarkStart w:id="81" w:name="_Toc129875201"/>
      <w:r w:rsidRPr="007F75F6">
        <w:rPr>
          <w:lang w:val="en-GB"/>
        </w:rPr>
        <w:t>Renewable energies</w:t>
      </w:r>
      <w:bookmarkEnd w:id="79"/>
      <w:bookmarkEnd w:id="80"/>
      <w:bookmarkEnd w:id="81"/>
    </w:p>
    <w:p w14:paraId="341E271C" w14:textId="77777777" w:rsidR="008E041D" w:rsidRPr="007F75F6" w:rsidRDefault="008E041D" w:rsidP="008E041D">
      <w:pPr>
        <w:rPr>
          <w:lang w:val="en-GB"/>
        </w:rPr>
      </w:pPr>
      <w:bookmarkStart w:id="82" w:name="_Hlk122007757"/>
      <w:r w:rsidRPr="007F75F6">
        <w:rPr>
          <w:lang w:val="en-GB"/>
        </w:rPr>
        <w:t xml:space="preserve">The data </w:t>
      </w:r>
      <w:proofErr w:type="spellStart"/>
      <w:r w:rsidRPr="007F75F6">
        <w:rPr>
          <w:lang w:val="en-GB"/>
        </w:rPr>
        <w:t>center</w:t>
      </w:r>
      <w:proofErr w:type="spellEnd"/>
      <w:r w:rsidRPr="007F75F6">
        <w:rPr>
          <w:lang w:val="en-GB"/>
        </w:rPr>
        <w:t xml:space="preserve"> must cover 100% of its electricity consumption using renewable energies such as hydroelectric power, photovoltaic power, wind power or biomass power. </w:t>
      </w:r>
    </w:p>
    <w:p w14:paraId="434D9A98" w14:textId="03CF30F2" w:rsidR="00E52488" w:rsidRDefault="008E041D" w:rsidP="008E041D">
      <w:r w:rsidRPr="007F75F6">
        <w:rPr>
          <w:lang w:val="en-GB"/>
        </w:rPr>
        <w:t xml:space="preserve">Exemption: The applicant can deviate from this requirement if the energy used to operate the data </w:t>
      </w:r>
      <w:proofErr w:type="spellStart"/>
      <w:r w:rsidRPr="007F75F6">
        <w:rPr>
          <w:lang w:val="en-GB"/>
        </w:rPr>
        <w:t>center</w:t>
      </w:r>
      <w:proofErr w:type="spellEnd"/>
      <w:r w:rsidRPr="007F75F6">
        <w:rPr>
          <w:lang w:val="en-GB"/>
        </w:rPr>
        <w:t xml:space="preserve"> is not directly sourced from an energy supply company (ESC) but via a third party, such as the landlord of a building or a separately operated business unit who has concluded a supply contract with the data </w:t>
      </w:r>
      <w:proofErr w:type="spellStart"/>
      <w:r w:rsidRPr="007F75F6">
        <w:rPr>
          <w:lang w:val="en-GB"/>
        </w:rPr>
        <w:t>center</w:t>
      </w:r>
      <w:proofErr w:type="spellEnd"/>
      <w:r w:rsidRPr="007F75F6">
        <w:rPr>
          <w:lang w:val="en-GB"/>
        </w:rPr>
        <w:t xml:space="preserve"> operator. This exemption can only be utilised if the data </w:t>
      </w:r>
      <w:proofErr w:type="spellStart"/>
      <w:r w:rsidRPr="007F75F6">
        <w:rPr>
          <w:lang w:val="en-GB"/>
        </w:rPr>
        <w:t>center</w:t>
      </w:r>
      <w:proofErr w:type="spellEnd"/>
      <w:r w:rsidRPr="007F75F6">
        <w:rPr>
          <w:lang w:val="en-GB"/>
        </w:rPr>
        <w:t xml:space="preserve"> accounts for no more than 20 percent of the total energy supplied annually by the EMC to this third party. The following applies to the electrical energy consumed in the data </w:t>
      </w:r>
      <w:proofErr w:type="spellStart"/>
      <w:r w:rsidRPr="007F75F6">
        <w:rPr>
          <w:lang w:val="en-GB"/>
        </w:rPr>
        <w:t>center</w:t>
      </w:r>
      <w:proofErr w:type="spellEnd"/>
      <w:r w:rsidRPr="007F75F6">
        <w:rPr>
          <w:lang w:val="en-GB"/>
        </w:rPr>
        <w:t xml:space="preserve"> that is not sourced from renewable energies: Data </w:t>
      </w:r>
      <w:proofErr w:type="spellStart"/>
      <w:r w:rsidRPr="007F75F6">
        <w:rPr>
          <w:lang w:val="en-GB"/>
        </w:rPr>
        <w:t>center</w:t>
      </w:r>
      <w:proofErr w:type="spellEnd"/>
      <w:r w:rsidRPr="007F75F6">
        <w:rPr>
          <w:lang w:val="en-GB"/>
        </w:rPr>
        <w:t xml:space="preserve"> operators must purchase certificates to offset the greenhouse gas emissions (CO</w:t>
      </w:r>
      <w:r w:rsidRPr="007F75F6">
        <w:rPr>
          <w:vertAlign w:val="subscript"/>
          <w:lang w:val="en-GB"/>
        </w:rPr>
        <w:t>2</w:t>
      </w:r>
      <w:r w:rsidRPr="007F75F6">
        <w:rPr>
          <w:lang w:val="en-GB"/>
        </w:rPr>
        <w:t xml:space="preserve"> emissions) generated in the production of this non-renewable electricity in order to utilise this exemption during their use of the ecolabel. The recommendations for evaluating the quality of these certificates documented in Appendix B to the Basic Award Criteria must be observed. The offsetting certificates must be submitted together with the Energy Efficiency Report for final evaluation before the end of the term of contract.</w:t>
      </w:r>
    </w:p>
    <w:p w14:paraId="13308892" w14:textId="77777777" w:rsidR="00217EDE" w:rsidRDefault="00217EDE" w:rsidP="009662B2"/>
    <w:bookmarkEnd w:id="82"/>
    <w:p w14:paraId="47F40A3A" w14:textId="04580196" w:rsidR="00217EDE" w:rsidRDefault="008E041D" w:rsidP="009662B2">
      <w:r w:rsidRPr="007F75F6">
        <w:rPr>
          <w:lang w:val="en-GB"/>
        </w:rPr>
        <w:t>Verification of the use of renewable energies is enclosed as Annex 3.6 with the file name:</w:t>
      </w:r>
    </w:p>
    <w:p w14:paraId="78392DF5" w14:textId="77777777" w:rsidR="00217EDE" w:rsidRDefault="00217EDE" w:rsidP="009662B2"/>
    <w:p w14:paraId="44A4F681" w14:textId="77777777" w:rsidR="00217EDE" w:rsidRDefault="00217EDE" w:rsidP="009662B2"/>
    <w:p w14:paraId="07919F4A" w14:textId="3D751FC5" w:rsidR="00217EDE" w:rsidRDefault="008E041D" w:rsidP="009662B2">
      <w:r w:rsidRPr="007F75F6">
        <w:rPr>
          <w:lang w:val="en-GB"/>
        </w:rPr>
        <w:t>Alternatively:</w:t>
      </w:r>
    </w:p>
    <w:p w14:paraId="789886FD" w14:textId="54BA99E6" w:rsidR="00CE74D0" w:rsidRDefault="00217EDE"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8E041D" w:rsidRPr="007F75F6">
        <w:rPr>
          <w:lang w:val="en-GB"/>
        </w:rPr>
        <w:t xml:space="preserve">The exemption has been utilised, the proportion of the total energy supplied accounted for by the data </w:t>
      </w:r>
      <w:proofErr w:type="spellStart"/>
      <w:r w:rsidR="008E041D" w:rsidRPr="007F75F6">
        <w:rPr>
          <w:lang w:val="en-GB"/>
        </w:rPr>
        <w:t>center</w:t>
      </w:r>
      <w:proofErr w:type="spellEnd"/>
      <w:r w:rsidR="008E041D" w:rsidRPr="007F75F6">
        <w:rPr>
          <w:lang w:val="en-GB"/>
        </w:rPr>
        <w:t xml:space="preserve"> is:</w:t>
      </w:r>
      <w:r w:rsidR="00CE74D0">
        <w:tab/>
      </w:r>
      <w:r w:rsidR="00CE74D0">
        <w:tab/>
        <w:t>%</w:t>
      </w:r>
    </w:p>
    <w:p w14:paraId="0E7F7F17" w14:textId="5104C017" w:rsidR="00D34A6A" w:rsidRDefault="008E041D" w:rsidP="009662B2">
      <w:r w:rsidRPr="007F75F6">
        <w:rPr>
          <w:lang w:val="en-GB"/>
        </w:rPr>
        <w:t>Offsetting certificates are enclosed as Annex 3.6 with the file name:</w:t>
      </w:r>
    </w:p>
    <w:p w14:paraId="4C3B4D7A" w14:textId="77777777" w:rsidR="008B6CCF" w:rsidRDefault="008B6CCF" w:rsidP="009662B2"/>
    <w:p w14:paraId="1A181D09" w14:textId="77777777" w:rsidR="000A5D00" w:rsidRDefault="000A5D00" w:rsidP="009662B2"/>
    <w:p w14:paraId="2A1EA256" w14:textId="73810B19" w:rsidR="00CA740E" w:rsidRPr="00CA740E" w:rsidRDefault="001C69DF" w:rsidP="008964C3">
      <w:pPr>
        <w:pStyle w:val="b3"/>
      </w:pPr>
      <w:bookmarkStart w:id="83" w:name="_Ref106005263"/>
      <w:bookmarkStart w:id="84" w:name="_Toc109635685"/>
      <w:bookmarkStart w:id="85" w:name="_Toc129875202"/>
      <w:r w:rsidRPr="007F75F6">
        <w:rPr>
          <w:lang w:val="en-GB"/>
        </w:rPr>
        <w:t>Publicly accessible information</w:t>
      </w:r>
      <w:bookmarkEnd w:id="83"/>
      <w:bookmarkEnd w:id="84"/>
      <w:bookmarkEnd w:id="85"/>
    </w:p>
    <w:p w14:paraId="74467C54" w14:textId="221F7ECC" w:rsidR="00CA740E" w:rsidRPr="00CA740E" w:rsidRDefault="001C69DF" w:rsidP="009662B2">
      <w:r w:rsidRPr="007F75F6">
        <w:rPr>
          <w:lang w:val="en-GB"/>
        </w:rPr>
        <w:t>The applicant must publish at least the following information on an annual basis:</w:t>
      </w:r>
    </w:p>
    <w:p w14:paraId="4F1CA078" w14:textId="46D91328" w:rsidR="00CA740E" w:rsidRPr="00CA740E" w:rsidRDefault="001C69DF" w:rsidP="009662B2">
      <w:pPr>
        <w:pStyle w:val="AufzhlungPunkt1"/>
        <w:rPr>
          <w:lang w:val="en-GB"/>
        </w:rPr>
      </w:pPr>
      <w:r w:rsidRPr="007F75F6">
        <w:rPr>
          <w:lang w:val="en-GB"/>
        </w:rPr>
        <w:t>Power Usage Effectiveness (PUE)</w:t>
      </w:r>
    </w:p>
    <w:p w14:paraId="18450279" w14:textId="77777777" w:rsidR="00CA740E" w:rsidRPr="00CA740E" w:rsidRDefault="00CA740E" w:rsidP="009662B2">
      <w:pPr>
        <w:pStyle w:val="AufzhlungPunkt1"/>
      </w:pPr>
      <w:r w:rsidRPr="00CA740E">
        <w:t>Cooling Efficiency Ratio (CER)</w:t>
      </w:r>
    </w:p>
    <w:p w14:paraId="2A7C9E7F" w14:textId="77777777" w:rsidR="00CA740E" w:rsidRPr="00CA740E" w:rsidRDefault="00CA740E" w:rsidP="009662B2">
      <w:pPr>
        <w:pStyle w:val="AufzhlungPunkt1"/>
      </w:pPr>
      <w:r w:rsidRPr="00CA740E">
        <w:t xml:space="preserve">Energy Reuse </w:t>
      </w:r>
      <w:proofErr w:type="spellStart"/>
      <w:r w:rsidRPr="00CA740E">
        <w:t>Factor</w:t>
      </w:r>
      <w:proofErr w:type="spellEnd"/>
      <w:r w:rsidRPr="00CA740E">
        <w:t xml:space="preserve"> (ERF)</w:t>
      </w:r>
    </w:p>
    <w:p w14:paraId="09D92D01" w14:textId="77777777" w:rsidR="00CA740E" w:rsidRPr="00CA740E" w:rsidRDefault="00CA740E" w:rsidP="009662B2">
      <w:pPr>
        <w:pStyle w:val="AufzhlungPunkt1"/>
      </w:pPr>
      <w:proofErr w:type="spellStart"/>
      <w:r w:rsidRPr="00CA740E">
        <w:t>Water</w:t>
      </w:r>
      <w:proofErr w:type="spellEnd"/>
      <w:r w:rsidRPr="00CA740E">
        <w:t xml:space="preserve"> </w:t>
      </w:r>
      <w:proofErr w:type="spellStart"/>
      <w:r w:rsidRPr="00CA740E">
        <w:t>Usage</w:t>
      </w:r>
      <w:proofErr w:type="spellEnd"/>
      <w:r w:rsidRPr="00CA740E">
        <w:t xml:space="preserve"> </w:t>
      </w:r>
      <w:proofErr w:type="spellStart"/>
      <w:r w:rsidRPr="00CA740E">
        <w:t>Effectivenes</w:t>
      </w:r>
      <w:proofErr w:type="spellEnd"/>
      <w:r w:rsidRPr="00CA740E">
        <w:t xml:space="preserve"> (WUE)</w:t>
      </w:r>
    </w:p>
    <w:p w14:paraId="6BA0420C" w14:textId="77777777" w:rsidR="00217EDE" w:rsidRPr="00E80289" w:rsidRDefault="00217EDE" w:rsidP="00217EDE">
      <w:pPr>
        <w:spacing w:line="360" w:lineRule="auto"/>
        <w:jc w:val="left"/>
      </w:pPr>
    </w:p>
    <w:p w14:paraId="7E12B985" w14:textId="4E907F00" w:rsidR="00CA740E" w:rsidRDefault="001C69DF" w:rsidP="009662B2">
      <w:r w:rsidRPr="007F75F6">
        <w:rPr>
          <w:lang w:val="en-GB"/>
        </w:rPr>
        <w:t>The information is published in the following location or at the following Internet address:</w:t>
      </w:r>
    </w:p>
    <w:p w14:paraId="2F642A90" w14:textId="77777777" w:rsidR="00CA740E" w:rsidRDefault="00CA740E" w:rsidP="001B780B">
      <w:pPr>
        <w:spacing w:line="240" w:lineRule="auto"/>
        <w:jc w:val="left"/>
      </w:pPr>
    </w:p>
    <w:p w14:paraId="30C1AAE8" w14:textId="77777777" w:rsidR="000A5D00" w:rsidRDefault="000A5D00" w:rsidP="001B780B">
      <w:pPr>
        <w:spacing w:line="240" w:lineRule="auto"/>
        <w:jc w:val="left"/>
      </w:pPr>
    </w:p>
    <w:p w14:paraId="10C662E5" w14:textId="3CD6CF9A" w:rsidR="00C958BA" w:rsidRPr="00064776" w:rsidRDefault="001D3A33" w:rsidP="008964C3">
      <w:pPr>
        <w:pStyle w:val="b3"/>
      </w:pPr>
      <w:bookmarkStart w:id="86" w:name="_Toc115941636"/>
      <w:bookmarkStart w:id="87" w:name="_Toc129875203"/>
      <w:r w:rsidRPr="007F75F6">
        <w:rPr>
          <w:lang w:val="en-GB"/>
        </w:rPr>
        <w:lastRenderedPageBreak/>
        <w:t xml:space="preserve">Requirements for data </w:t>
      </w:r>
      <w:proofErr w:type="spellStart"/>
      <w:r w:rsidRPr="007F75F6">
        <w:rPr>
          <w:lang w:val="en-GB"/>
        </w:rPr>
        <w:t>center</w:t>
      </w:r>
      <w:proofErr w:type="spellEnd"/>
      <w:r w:rsidRPr="007F75F6">
        <w:rPr>
          <w:lang w:val="en-GB"/>
        </w:rPr>
        <w:t xml:space="preserve"> service providers</w:t>
      </w:r>
      <w:bookmarkEnd w:id="86"/>
      <w:bookmarkEnd w:id="87"/>
    </w:p>
    <w:p w14:paraId="25CCB227" w14:textId="059E2E17" w:rsidR="00DB3503" w:rsidRDefault="001D3A33" w:rsidP="009662B2">
      <w:r w:rsidRPr="007F75F6">
        <w:rPr>
          <w:lang w:val="en-GB"/>
        </w:rPr>
        <w:t xml:space="preserve">If a data </w:t>
      </w:r>
      <w:proofErr w:type="spellStart"/>
      <w:r w:rsidRPr="007F75F6">
        <w:rPr>
          <w:lang w:val="en-GB"/>
        </w:rPr>
        <w:t>center</w:t>
      </w:r>
      <w:proofErr w:type="spellEnd"/>
      <w:r w:rsidRPr="007F75F6">
        <w:rPr>
          <w:lang w:val="en-GB"/>
        </w:rPr>
        <w:t xml:space="preserve"> operator leases out white space or IT hardware in the data </w:t>
      </w:r>
      <w:proofErr w:type="spellStart"/>
      <w:r w:rsidRPr="007F75F6">
        <w:rPr>
          <w:lang w:val="en-GB"/>
        </w:rPr>
        <w:t>center</w:t>
      </w:r>
      <w:proofErr w:type="spellEnd"/>
      <w:r w:rsidRPr="007F75F6">
        <w:rPr>
          <w:lang w:val="en-GB"/>
        </w:rPr>
        <w:t xml:space="preserve"> to one or more legal entities (e.g. colocation customers or hosting customers) or otherwise makes them available to external companies (e.g. granting the right of use to white space or IT hardware as part of a cooperation agreement), the applicant must also comply with the following requirements in</w:t>
      </w:r>
      <w:r w:rsidR="00C958BA" w:rsidRPr="00C958BA">
        <w:t xml:space="preserve"> </w:t>
      </w:r>
      <w:r w:rsidR="00922BD9">
        <w:fldChar w:fldCharType="begin"/>
      </w:r>
      <w:r w:rsidR="00922BD9">
        <w:instrText xml:space="preserve"> REF _Ref121146507 \r \h </w:instrText>
      </w:r>
      <w:r w:rsidR="009662B2">
        <w:instrText xml:space="preserve"> \* MERGEFORMAT </w:instrText>
      </w:r>
      <w:r w:rsidR="00922BD9">
        <w:fldChar w:fldCharType="separate"/>
      </w:r>
      <w:r w:rsidR="004D33ED">
        <w:t>3.2.6.1</w:t>
      </w:r>
      <w:r w:rsidR="00922BD9">
        <w:fldChar w:fldCharType="end"/>
      </w:r>
      <w:r w:rsidR="00C958BA" w:rsidRPr="00C958BA">
        <w:t xml:space="preserve">, </w:t>
      </w:r>
      <w:r w:rsidR="00922BD9">
        <w:fldChar w:fldCharType="begin"/>
      </w:r>
      <w:r w:rsidR="00922BD9">
        <w:instrText xml:space="preserve"> REF _Ref100834027 \r \h </w:instrText>
      </w:r>
      <w:r w:rsidR="009662B2">
        <w:instrText xml:space="preserve"> \* MERGEFORMAT </w:instrText>
      </w:r>
      <w:r w:rsidR="00922BD9">
        <w:fldChar w:fldCharType="separate"/>
      </w:r>
      <w:r w:rsidR="004D33ED">
        <w:t>3.2.6.2</w:t>
      </w:r>
      <w:r w:rsidR="00922BD9">
        <w:fldChar w:fldCharType="end"/>
      </w:r>
      <w:r w:rsidR="00C958BA" w:rsidRPr="00C958BA">
        <w:t xml:space="preserve"> </w:t>
      </w:r>
      <w:r w:rsidR="00ED7F7F">
        <w:t>an</w:t>
      </w:r>
      <w:r w:rsidR="00C958BA" w:rsidRPr="00C958BA">
        <w:t xml:space="preserve">d </w:t>
      </w:r>
      <w:r w:rsidR="00922BD9">
        <w:fldChar w:fldCharType="begin"/>
      </w:r>
      <w:r w:rsidR="00922BD9">
        <w:instrText xml:space="preserve"> REF _Ref121146522 \r \h </w:instrText>
      </w:r>
      <w:r w:rsidR="009662B2">
        <w:instrText xml:space="preserve"> \* MERGEFORMAT </w:instrText>
      </w:r>
      <w:r w:rsidR="00922BD9">
        <w:fldChar w:fldCharType="separate"/>
      </w:r>
      <w:r w:rsidR="004D33ED">
        <w:t>3.2.6.3</w:t>
      </w:r>
      <w:r w:rsidR="00922BD9">
        <w:fldChar w:fldCharType="end"/>
      </w:r>
      <w:r w:rsidR="00C958BA" w:rsidRPr="00C958BA">
        <w:t xml:space="preserve">. </w:t>
      </w:r>
      <w:r w:rsidR="00ED7F7F" w:rsidRPr="007F75F6">
        <w:rPr>
          <w:lang w:val="en-GB"/>
        </w:rPr>
        <w:t xml:space="preserve">In order to differentiate between the different parties involved, the data </w:t>
      </w:r>
      <w:proofErr w:type="spellStart"/>
      <w:r w:rsidR="00ED7F7F" w:rsidRPr="007F75F6">
        <w:rPr>
          <w:lang w:val="en-GB"/>
        </w:rPr>
        <w:t>center</w:t>
      </w:r>
      <w:proofErr w:type="spellEnd"/>
      <w:r w:rsidR="00ED7F7F" w:rsidRPr="007F75F6">
        <w:rPr>
          <w:lang w:val="en-GB"/>
        </w:rPr>
        <w:t xml:space="preserve"> operator is referred to in these Paragraphs as the “data </w:t>
      </w:r>
      <w:proofErr w:type="spellStart"/>
      <w:r w:rsidR="00ED7F7F" w:rsidRPr="007F75F6">
        <w:rPr>
          <w:lang w:val="en-GB"/>
        </w:rPr>
        <w:t>center</w:t>
      </w:r>
      <w:proofErr w:type="spellEnd"/>
      <w:r w:rsidR="00ED7F7F" w:rsidRPr="007F75F6">
        <w:rPr>
          <w:lang w:val="en-GB"/>
        </w:rPr>
        <w:t xml:space="preserve"> service provider” and contractually bound IT operators as “IT customers”.</w:t>
      </w:r>
    </w:p>
    <w:p w14:paraId="38DB362B" w14:textId="584DABB2" w:rsidR="00A26203" w:rsidRPr="00064776" w:rsidRDefault="00611C54" w:rsidP="008964C3">
      <w:pPr>
        <w:pStyle w:val="b4"/>
      </w:pPr>
      <w:bookmarkStart w:id="88" w:name="_Ref106005308"/>
      <w:bookmarkStart w:id="89" w:name="_Toc109635686"/>
      <w:bookmarkStart w:id="90" w:name="_Ref112664288"/>
      <w:bookmarkStart w:id="91" w:name="_Ref121146507"/>
      <w:bookmarkStart w:id="92" w:name="_Ref122095409"/>
      <w:r w:rsidRPr="007F75F6">
        <w:rPr>
          <w:lang w:val="en-GB"/>
        </w:rPr>
        <w:t xml:space="preserve">Obligation to provide information to </w:t>
      </w:r>
      <w:bookmarkEnd w:id="88"/>
      <w:r w:rsidRPr="007F75F6">
        <w:rPr>
          <w:lang w:val="en-GB"/>
        </w:rPr>
        <w:t>IT operators</w:t>
      </w:r>
      <w:bookmarkEnd w:id="89"/>
      <w:bookmarkEnd w:id="90"/>
      <w:bookmarkEnd w:id="91"/>
      <w:bookmarkEnd w:id="92"/>
    </w:p>
    <w:p w14:paraId="4CB9EBB5" w14:textId="0377E943" w:rsidR="009662B2" w:rsidRDefault="00611C54" w:rsidP="009662B2">
      <w:r w:rsidRPr="007F75F6">
        <w:rPr>
          <w:lang w:val="en-GB"/>
        </w:rPr>
        <w:t xml:space="preserve">The data </w:t>
      </w:r>
      <w:proofErr w:type="spellStart"/>
      <w:r w:rsidRPr="007F75F6">
        <w:rPr>
          <w:lang w:val="en-GB"/>
        </w:rPr>
        <w:t>center</w:t>
      </w:r>
      <w:proofErr w:type="spellEnd"/>
      <w:r w:rsidRPr="007F75F6">
        <w:rPr>
          <w:lang w:val="en-GB"/>
        </w:rPr>
        <w:t xml:space="preserve"> service provider undertakes to regularly, although at least monthly, provide its IT customers – from a contractually agreed peak electrical load for IT of 5 kilowatts per IT customer – with information about the amount of electricity consumed and the peak electrical load of the information technology used by the respective IT customer.</w:t>
      </w:r>
    </w:p>
    <w:p w14:paraId="139461AA" w14:textId="5D605624" w:rsidR="00A26203" w:rsidRPr="004747C1" w:rsidRDefault="00611C54" w:rsidP="009662B2">
      <w:pPr>
        <w:pStyle w:val="AufzhlungPunkt1"/>
      </w:pPr>
      <w:r w:rsidRPr="007F75F6">
        <w:rPr>
          <w:lang w:val="en-GB"/>
        </w:rPr>
        <w:t>Electricity consumption for IT [</w:t>
      </w:r>
      <w:proofErr w:type="spellStart"/>
      <w:r w:rsidRPr="007F75F6">
        <w:rPr>
          <w:lang w:val="en-GB"/>
        </w:rPr>
        <w:t>kWh</w:t>
      </w:r>
      <w:r w:rsidRPr="007F75F6">
        <w:rPr>
          <w:vertAlign w:val="subscript"/>
          <w:lang w:val="en-GB"/>
        </w:rPr>
        <w:t>el</w:t>
      </w:r>
      <w:proofErr w:type="spellEnd"/>
      <w:r w:rsidRPr="007F75F6">
        <w:rPr>
          <w:lang w:val="en-GB"/>
        </w:rPr>
        <w:t xml:space="preserve">] </w:t>
      </w:r>
      <w:r w:rsidR="00A26203" w:rsidRPr="004747C1">
        <w:t xml:space="preserve"> </w:t>
      </w:r>
    </w:p>
    <w:p w14:paraId="3E73613E" w14:textId="483BA3DC" w:rsidR="00DB3503" w:rsidRDefault="00611C54" w:rsidP="009662B2">
      <w:pPr>
        <w:pStyle w:val="AufzhlungPunkt1"/>
      </w:pPr>
      <w:r w:rsidRPr="007F75F6">
        <w:rPr>
          <w:lang w:val="en-GB"/>
        </w:rPr>
        <w:t>Peak electrical load for IT [</w:t>
      </w:r>
      <w:proofErr w:type="spellStart"/>
      <w:r w:rsidRPr="007F75F6">
        <w:rPr>
          <w:lang w:val="en-GB"/>
        </w:rPr>
        <w:t>kW</w:t>
      </w:r>
      <w:r w:rsidRPr="007F75F6">
        <w:rPr>
          <w:vertAlign w:val="subscript"/>
          <w:lang w:val="en-GB"/>
        </w:rPr>
        <w:t>el</w:t>
      </w:r>
      <w:proofErr w:type="spellEnd"/>
      <w:r w:rsidRPr="007F75F6">
        <w:rPr>
          <w:lang w:val="en-GB"/>
        </w:rPr>
        <w:t>]</w:t>
      </w:r>
    </w:p>
    <w:p w14:paraId="6B6660FC" w14:textId="77777777" w:rsidR="009662B2" w:rsidRDefault="009662B2" w:rsidP="009662B2"/>
    <w:p w14:paraId="51A39F1A" w14:textId="45BA0B8A" w:rsidR="00B251E3" w:rsidRDefault="00611C54" w:rsidP="009662B2">
      <w:r w:rsidRPr="007F75F6">
        <w:rPr>
          <w:lang w:val="en-GB"/>
        </w:rPr>
        <w:t>Example information is enclosed as Annex 3.7 with the file name:</w:t>
      </w:r>
    </w:p>
    <w:p w14:paraId="0D1B9685" w14:textId="77777777" w:rsidR="00636D01" w:rsidRDefault="00636D01" w:rsidP="009662B2"/>
    <w:p w14:paraId="766A1945" w14:textId="77777777" w:rsidR="00636D01" w:rsidRDefault="00636D01" w:rsidP="009662B2"/>
    <w:p w14:paraId="5F586BAB" w14:textId="50EC194A" w:rsidR="00770487" w:rsidRDefault="00D5098F" w:rsidP="008964C3">
      <w:pPr>
        <w:pStyle w:val="b4"/>
      </w:pPr>
      <w:bookmarkStart w:id="93" w:name="_Ref100834027"/>
      <w:bookmarkStart w:id="94" w:name="_Toc109635688"/>
      <w:r w:rsidRPr="007F75F6">
        <w:rPr>
          <w:lang w:val="en-GB"/>
        </w:rPr>
        <w:t>Financial incentives for saving energy</w:t>
      </w:r>
      <w:bookmarkEnd w:id="93"/>
      <w:bookmarkEnd w:id="94"/>
    </w:p>
    <w:p w14:paraId="766AB2CC" w14:textId="77777777" w:rsidR="00D5098F" w:rsidRPr="007F75F6" w:rsidRDefault="00D5098F" w:rsidP="00D5098F">
      <w:pPr>
        <w:rPr>
          <w:lang w:val="en-GB"/>
        </w:rPr>
      </w:pPr>
      <w:r w:rsidRPr="007F75F6">
        <w:rPr>
          <w:lang w:val="en-GB"/>
        </w:rPr>
        <w:t xml:space="preserve">The pricing model used by the data </w:t>
      </w:r>
      <w:proofErr w:type="spellStart"/>
      <w:r w:rsidRPr="007F75F6">
        <w:rPr>
          <w:lang w:val="en-GB"/>
        </w:rPr>
        <w:t>center</w:t>
      </w:r>
      <w:proofErr w:type="spellEnd"/>
      <w:r w:rsidRPr="007F75F6">
        <w:rPr>
          <w:lang w:val="en-GB"/>
        </w:rPr>
        <w:t xml:space="preserve"> service provider to bill the IT customers must be designed so that the customer or contractual partner has an incentive to use the most energy efficient information technology, consume less energy and operate the most energy efficient equipment. </w:t>
      </w:r>
    </w:p>
    <w:p w14:paraId="287B10CC" w14:textId="765A3604" w:rsidR="00770487" w:rsidRDefault="00D5098F" w:rsidP="00D5098F">
      <w:r w:rsidRPr="007F75F6">
        <w:rPr>
          <w:lang w:val="en-GB"/>
        </w:rPr>
        <w:t xml:space="preserve">The data </w:t>
      </w:r>
      <w:proofErr w:type="spellStart"/>
      <w:r w:rsidRPr="007F75F6">
        <w:rPr>
          <w:lang w:val="en-GB"/>
        </w:rPr>
        <w:t>center</w:t>
      </w:r>
      <w:proofErr w:type="spellEnd"/>
      <w:r w:rsidRPr="007F75F6">
        <w:rPr>
          <w:lang w:val="en-GB"/>
        </w:rPr>
        <w:t xml:space="preserve"> service provider must offer IT customers – from a contractually agreed peak electrical load for IT of 5 kilowatts – a pricing model that includes the following criteria:</w:t>
      </w:r>
    </w:p>
    <w:p w14:paraId="7DBF416A" w14:textId="77777777" w:rsidR="00D5098F" w:rsidRPr="007F75F6" w:rsidRDefault="00D5098F" w:rsidP="00D5098F">
      <w:pPr>
        <w:pStyle w:val="AufzhlungPunkt1"/>
        <w:rPr>
          <w:lang w:val="en-GB"/>
        </w:rPr>
      </w:pPr>
      <w:r w:rsidRPr="007F75F6">
        <w:rPr>
          <w:lang w:val="en-GB"/>
        </w:rPr>
        <w:t xml:space="preserve">The charges billed for the service must contain a pricing component that is dependent on the amount of electricity consumed.  </w:t>
      </w:r>
    </w:p>
    <w:p w14:paraId="2D3D881B" w14:textId="77777777" w:rsidR="00D5098F" w:rsidRPr="007F75F6" w:rsidRDefault="00D5098F" w:rsidP="00D5098F">
      <w:pPr>
        <w:pStyle w:val="AufzhlungPunkt1"/>
        <w:rPr>
          <w:lang w:val="en-GB"/>
        </w:rPr>
      </w:pPr>
      <w:r w:rsidRPr="007F75F6">
        <w:rPr>
          <w:lang w:val="en-GB"/>
        </w:rPr>
        <w:t>The price per energy unit in this consumption-based pricing model must not be lower than the purchase price for the supplied electricity (electricity price).</w:t>
      </w:r>
    </w:p>
    <w:p w14:paraId="710F9D00" w14:textId="2C9B2C62" w:rsidR="00770487" w:rsidRDefault="00D5098F" w:rsidP="00D5098F">
      <w:pPr>
        <w:pStyle w:val="AufzhlungPunkt1"/>
      </w:pPr>
      <w:r w:rsidRPr="007F75F6">
        <w:rPr>
          <w:lang w:val="en-GB"/>
        </w:rPr>
        <w:t xml:space="preserve">The data </w:t>
      </w:r>
      <w:proofErr w:type="spellStart"/>
      <w:r w:rsidRPr="007F75F6">
        <w:rPr>
          <w:lang w:val="en-GB"/>
        </w:rPr>
        <w:t>center</w:t>
      </w:r>
      <w:proofErr w:type="spellEnd"/>
      <w:r w:rsidRPr="007F75F6">
        <w:rPr>
          <w:lang w:val="en-GB"/>
        </w:rPr>
        <w:t xml:space="preserve"> service provider may not agree with the customer either a minimum purchase quantity or a fixed amount of electrical energy [</w:t>
      </w:r>
      <w:proofErr w:type="spellStart"/>
      <w:r w:rsidRPr="007F75F6">
        <w:rPr>
          <w:lang w:val="en-GB"/>
        </w:rPr>
        <w:t>kWh</w:t>
      </w:r>
      <w:r w:rsidRPr="007F75F6">
        <w:rPr>
          <w:vertAlign w:val="subscript"/>
          <w:lang w:val="en-GB"/>
        </w:rPr>
        <w:t>el</w:t>
      </w:r>
      <w:proofErr w:type="spellEnd"/>
      <w:r w:rsidRPr="007F75F6">
        <w:rPr>
          <w:lang w:val="en-GB"/>
        </w:rPr>
        <w:t>] provided free of charge.</w:t>
      </w:r>
      <w:r w:rsidR="00770487" w:rsidRPr="004747C1">
        <w:t xml:space="preserve"> </w:t>
      </w:r>
      <w:r w:rsidR="00770487">
        <w:t xml:space="preserve"> </w:t>
      </w:r>
    </w:p>
    <w:p w14:paraId="7F06ECBA" w14:textId="77777777" w:rsidR="00B518B1" w:rsidRDefault="00B518B1" w:rsidP="009662B2">
      <w:pPr>
        <w:rPr>
          <w:b/>
          <w:bCs/>
        </w:rPr>
      </w:pPr>
    </w:p>
    <w:p w14:paraId="47B492C8" w14:textId="02980F76" w:rsidR="000015DA" w:rsidRDefault="00D5098F" w:rsidP="009662B2">
      <w:r w:rsidRPr="007F75F6">
        <w:rPr>
          <w:b/>
          <w:lang w:val="en-GB"/>
        </w:rPr>
        <w:t>Exemption</w:t>
      </w:r>
      <w:r w:rsidRPr="007F75F6">
        <w:rPr>
          <w:lang w:val="en-GB"/>
        </w:rPr>
        <w:t xml:space="preserve">: This requirement does not apply if the data </w:t>
      </w:r>
      <w:proofErr w:type="spellStart"/>
      <w:r w:rsidRPr="007F75F6">
        <w:rPr>
          <w:lang w:val="en-GB"/>
        </w:rPr>
        <w:t>center</w:t>
      </w:r>
      <w:proofErr w:type="spellEnd"/>
      <w:r w:rsidRPr="007F75F6">
        <w:rPr>
          <w:lang w:val="en-GB"/>
        </w:rPr>
        <w:t xml:space="preserve"> service provider does not issue any invoices to the customer for these services. This could be the case, for example, if the service is provided in the form of administrative assistance without the payment of a financial consideration or as part of a research partnership.</w:t>
      </w:r>
    </w:p>
    <w:p w14:paraId="756FDC31" w14:textId="77777777" w:rsidR="000015DA" w:rsidRDefault="000015DA" w:rsidP="00770487">
      <w:pPr>
        <w:spacing w:line="240" w:lineRule="auto"/>
        <w:jc w:val="left"/>
      </w:pPr>
    </w:p>
    <w:p w14:paraId="5F5F4653" w14:textId="01661F7D" w:rsidR="00770487" w:rsidRDefault="00770487"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D5098F" w:rsidRPr="007F75F6">
        <w:rPr>
          <w:lang w:val="en-GB"/>
        </w:rPr>
        <w:t>The applicant confirms compliance and submits the contractual conditions in the pricing model and the lack of a minimum purchase quantity as well as the electricity price (purchase and sales price) to the auditor.</w:t>
      </w:r>
    </w:p>
    <w:p w14:paraId="6519C82D" w14:textId="77777777" w:rsidR="00770487" w:rsidRDefault="00770487" w:rsidP="009662B2"/>
    <w:p w14:paraId="29214103" w14:textId="3A740C40" w:rsidR="004949DD" w:rsidRDefault="00D5098F" w:rsidP="009662B2">
      <w:r w:rsidRPr="007F75F6">
        <w:rPr>
          <w:lang w:val="en-GB"/>
        </w:rPr>
        <w:t>Alternatively</w:t>
      </w:r>
      <w:r w:rsidR="004949DD">
        <w:t>:</w:t>
      </w:r>
    </w:p>
    <w:p w14:paraId="7BC7E1AF" w14:textId="3CFA36B6" w:rsidR="00770487" w:rsidRDefault="004949DD"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D5098F" w:rsidRPr="007F75F6">
        <w:rPr>
          <w:lang w:val="en-GB"/>
        </w:rPr>
        <w:t>The exemption has been utilised, the applicant has presented the justification to the auditor.</w:t>
      </w:r>
    </w:p>
    <w:p w14:paraId="3E29EF5C" w14:textId="77777777" w:rsidR="00770487" w:rsidRDefault="00770487" w:rsidP="009662B2"/>
    <w:p w14:paraId="69D06EC4" w14:textId="77777777" w:rsidR="00636D01" w:rsidRDefault="00636D01" w:rsidP="00B251E3">
      <w:pPr>
        <w:spacing w:line="240" w:lineRule="auto"/>
        <w:jc w:val="left"/>
      </w:pPr>
    </w:p>
    <w:p w14:paraId="7C3646F1" w14:textId="3F733A87" w:rsidR="008C702C" w:rsidRDefault="00D5098F" w:rsidP="008964C3">
      <w:pPr>
        <w:pStyle w:val="b4"/>
      </w:pPr>
      <w:bookmarkStart w:id="95" w:name="_Hlk100498722"/>
      <w:r w:rsidRPr="007F75F6">
        <w:rPr>
          <w:lang w:val="en-GB"/>
        </w:rPr>
        <w:t xml:space="preserve">Advisory services for improving energy </w:t>
      </w:r>
      <w:proofErr w:type="spellStart"/>
      <w:r w:rsidRPr="007F75F6">
        <w:rPr>
          <w:lang w:val="en-GB"/>
        </w:rPr>
        <w:t>efficienc</w:t>
      </w:r>
      <w:proofErr w:type="spellEnd"/>
    </w:p>
    <w:bookmarkEnd w:id="95"/>
    <w:p w14:paraId="494C816A" w14:textId="39E9CED0" w:rsidR="008C702C" w:rsidRDefault="000D0587" w:rsidP="009662B2">
      <w:r w:rsidRPr="007F75F6">
        <w:rPr>
          <w:lang w:val="en-GB"/>
        </w:rPr>
        <w:t xml:space="preserve">The data </w:t>
      </w:r>
      <w:proofErr w:type="spellStart"/>
      <w:r w:rsidRPr="007F75F6">
        <w:rPr>
          <w:lang w:val="en-GB"/>
        </w:rPr>
        <w:t>center</w:t>
      </w:r>
      <w:proofErr w:type="spellEnd"/>
      <w:r w:rsidRPr="007F75F6">
        <w:rPr>
          <w:lang w:val="en-GB"/>
        </w:rPr>
        <w:t xml:space="preserve"> service provider must inform their IT customers about the possibilities for saving energy and support them in the implementation of these measures. This advice can cover, for example, the selection of energy efficient information technology, consolidating IT output, reducing peak loads, making optimal use of existing resources or introducing energy monitoring systems. The data </w:t>
      </w:r>
      <w:proofErr w:type="spellStart"/>
      <w:r w:rsidRPr="007F75F6">
        <w:rPr>
          <w:lang w:val="en-GB"/>
        </w:rPr>
        <w:t>center</w:t>
      </w:r>
      <w:proofErr w:type="spellEnd"/>
      <w:r w:rsidRPr="007F75F6">
        <w:rPr>
          <w:lang w:val="en-GB"/>
        </w:rPr>
        <w:t xml:space="preserve"> service provider must provide their customers or contractual partners with corresponding information (e.g. information brochures, workshops, video tutorials, etc.).</w:t>
      </w:r>
    </w:p>
    <w:p w14:paraId="170D8EB6" w14:textId="77777777" w:rsidR="00636D01" w:rsidRDefault="00636D01" w:rsidP="009662B2"/>
    <w:p w14:paraId="7E288F5D" w14:textId="46258E75" w:rsidR="00E3272A" w:rsidRDefault="000D0587" w:rsidP="009662B2">
      <w:r w:rsidRPr="007F75F6">
        <w:rPr>
          <w:lang w:val="en-GB"/>
        </w:rPr>
        <w:t>The following advisory services have been made available:</w:t>
      </w:r>
    </w:p>
    <w:p w14:paraId="7510EC47" w14:textId="77777777" w:rsidR="006E09C6" w:rsidRDefault="006E09C6" w:rsidP="009662B2"/>
    <w:p w14:paraId="2545459F" w14:textId="77777777" w:rsidR="006E09C6" w:rsidRDefault="006E09C6" w:rsidP="009662B2"/>
    <w:p w14:paraId="6D8CB8E7" w14:textId="77777777" w:rsidR="006E09C6" w:rsidRDefault="006E09C6" w:rsidP="009662B2"/>
    <w:p w14:paraId="4A9E7572" w14:textId="77777777" w:rsidR="00E3272A" w:rsidRDefault="00E3272A" w:rsidP="009662B2"/>
    <w:p w14:paraId="3C0C763F" w14:textId="77777777" w:rsidR="00E3272A" w:rsidRDefault="00E3272A" w:rsidP="009662B2"/>
    <w:p w14:paraId="452134F0" w14:textId="79F56716" w:rsidR="008C702C" w:rsidRDefault="000D0587" w:rsidP="009662B2">
      <w:r w:rsidRPr="007F75F6">
        <w:rPr>
          <w:lang w:val="en-GB"/>
        </w:rPr>
        <w:t>Information materials are enclosed as Annex 3.8 with the file name:</w:t>
      </w:r>
    </w:p>
    <w:p w14:paraId="25F8C42A" w14:textId="77777777" w:rsidR="00676ED2" w:rsidRDefault="00676ED2" w:rsidP="009662B2"/>
    <w:p w14:paraId="538A4517" w14:textId="77777777" w:rsidR="008C702C" w:rsidRDefault="008C702C" w:rsidP="009662B2"/>
    <w:p w14:paraId="7A896848" w14:textId="77861C0B" w:rsidR="00FD621C" w:rsidRPr="004747C1" w:rsidRDefault="000D0587" w:rsidP="008964C3">
      <w:pPr>
        <w:pStyle w:val="b3"/>
      </w:pPr>
      <w:bookmarkStart w:id="96" w:name="_Toc118727011"/>
      <w:bookmarkStart w:id="97" w:name="_Toc118727012"/>
      <w:bookmarkStart w:id="98" w:name="_Toc118727013"/>
      <w:bookmarkStart w:id="99" w:name="_Toc118727014"/>
      <w:bookmarkStart w:id="100" w:name="_Toc118727015"/>
      <w:bookmarkStart w:id="101" w:name="_Toc118727016"/>
      <w:bookmarkStart w:id="102" w:name="_Toc118727017"/>
      <w:bookmarkStart w:id="103" w:name="_Toc118727018"/>
      <w:bookmarkStart w:id="104" w:name="_Toc118727019"/>
      <w:bookmarkStart w:id="105" w:name="_Ref112320107"/>
      <w:bookmarkStart w:id="106" w:name="_Toc129875204"/>
      <w:bookmarkEnd w:id="96"/>
      <w:bookmarkEnd w:id="97"/>
      <w:bookmarkEnd w:id="98"/>
      <w:bookmarkEnd w:id="99"/>
      <w:bookmarkEnd w:id="100"/>
      <w:bookmarkEnd w:id="101"/>
      <w:bookmarkEnd w:id="102"/>
      <w:bookmarkEnd w:id="103"/>
      <w:bookmarkEnd w:id="104"/>
      <w:r w:rsidRPr="007F75F6">
        <w:rPr>
          <w:lang w:val="en-GB"/>
        </w:rPr>
        <w:t>Power Usage Effectiveness (PUE) – efficiency of the infrastructure</w:t>
      </w:r>
      <w:bookmarkEnd w:id="105"/>
      <w:bookmarkEnd w:id="106"/>
    </w:p>
    <w:p w14:paraId="42DDC580" w14:textId="77777777" w:rsidR="000D0587" w:rsidRPr="007F75F6" w:rsidRDefault="000D0587" w:rsidP="000D0587">
      <w:pPr>
        <w:rPr>
          <w:lang w:val="en-GB"/>
        </w:rPr>
      </w:pPr>
      <w:r w:rsidRPr="007F75F6">
        <w:rPr>
          <w:lang w:val="en-GB"/>
        </w:rPr>
        <w:t xml:space="preserve">Power Usage Effectiveness (PUE) is a measure of the energy efficiency of the data </w:t>
      </w:r>
      <w:proofErr w:type="spellStart"/>
      <w:r w:rsidRPr="007F75F6">
        <w:rPr>
          <w:lang w:val="en-GB"/>
        </w:rPr>
        <w:t>center's</w:t>
      </w:r>
      <w:proofErr w:type="spellEnd"/>
      <w:r w:rsidRPr="007F75F6">
        <w:rPr>
          <w:lang w:val="en-GB"/>
        </w:rPr>
        <w:t xml:space="preserve"> infrastructure. </w:t>
      </w:r>
    </w:p>
    <w:p w14:paraId="50EE9225" w14:textId="77777777" w:rsidR="000D0587" w:rsidRPr="007F75F6" w:rsidRDefault="000D0587" w:rsidP="000D0587">
      <w:pPr>
        <w:rPr>
          <w:lang w:val="en-GB"/>
        </w:rPr>
      </w:pPr>
      <w:r w:rsidRPr="007F75F6">
        <w:rPr>
          <w:lang w:val="en-GB"/>
        </w:rPr>
        <w:t>The PUE value must be determined in accordance with the DIN EN 50600-4-2 standard for PUE category 2 (PUE</w:t>
      </w:r>
      <w:r w:rsidRPr="007F75F6">
        <w:rPr>
          <w:vertAlign w:val="subscript"/>
          <w:lang w:val="en-GB"/>
        </w:rPr>
        <w:t>2</w:t>
      </w:r>
      <w:r w:rsidRPr="007F75F6">
        <w:rPr>
          <w:lang w:val="en-GB"/>
        </w:rPr>
        <w:t xml:space="preserve">, intermediate resolution) or using an equivalent method. </w:t>
      </w:r>
    </w:p>
    <w:p w14:paraId="6B697CB1" w14:textId="77777777" w:rsidR="000D0587" w:rsidRPr="007F75F6" w:rsidRDefault="000D0587" w:rsidP="000D0587">
      <w:pPr>
        <w:rPr>
          <w:lang w:val="en-GB"/>
        </w:rPr>
      </w:pPr>
      <w:r w:rsidRPr="007F75F6">
        <w:rPr>
          <w:lang w:val="en-GB"/>
        </w:rPr>
        <w:t xml:space="preserve">Energy used for the decoupling of waste heat (e.g. for the operation of a heat pump to increase the temperature level and pumps to operate heating networks) should not be included in the calculation of the PUE. Corresponding meters must be installed for this purpose. </w:t>
      </w:r>
    </w:p>
    <w:p w14:paraId="48E177AE" w14:textId="77777777" w:rsidR="000D0587" w:rsidRPr="007F75F6" w:rsidRDefault="000D0587" w:rsidP="000D0587">
      <w:pPr>
        <w:rPr>
          <w:lang w:val="en-GB"/>
        </w:rPr>
      </w:pPr>
      <w:r w:rsidRPr="007F75F6">
        <w:rPr>
          <w:lang w:val="en-GB"/>
        </w:rPr>
        <w:t>At the time of application, the end of the measurement period for determining the PUE must not be more than three months ago.</w:t>
      </w:r>
    </w:p>
    <w:p w14:paraId="1AAB42DB" w14:textId="0CB91EEA" w:rsidR="00FD621C" w:rsidRDefault="000D0587" w:rsidP="000D0587">
      <w:r w:rsidRPr="007F75F6">
        <w:rPr>
          <w:lang w:val="en-GB"/>
        </w:rPr>
        <w:t xml:space="preserve">Depending on the date on which the data </w:t>
      </w:r>
      <w:proofErr w:type="spellStart"/>
      <w:r w:rsidRPr="007F75F6">
        <w:rPr>
          <w:lang w:val="en-GB"/>
        </w:rPr>
        <w:t>center</w:t>
      </w:r>
      <w:proofErr w:type="spellEnd"/>
      <w:r w:rsidRPr="007F75F6">
        <w:rPr>
          <w:lang w:val="en-GB"/>
        </w:rPr>
        <w:t xml:space="preserve"> was commissioned, the Power Usage Effectiveness (PUE) of the data </w:t>
      </w:r>
      <w:proofErr w:type="spellStart"/>
      <w:r w:rsidRPr="007F75F6">
        <w:rPr>
          <w:lang w:val="en-GB"/>
        </w:rPr>
        <w:t>center</w:t>
      </w:r>
      <w:proofErr w:type="spellEnd"/>
      <w:r w:rsidRPr="007F75F6">
        <w:rPr>
          <w:lang w:val="en-GB"/>
        </w:rPr>
        <w:t xml:space="preserve"> must not exceed the following values as an annual average even during the term of use of the ecolabel:</w:t>
      </w:r>
    </w:p>
    <w:p w14:paraId="373087BA" w14:textId="77777777" w:rsidR="008964C3" w:rsidRPr="004747C1" w:rsidRDefault="008964C3" w:rsidP="00F90ED5"/>
    <w:p w14:paraId="5BD3BEF0" w14:textId="182E97A4" w:rsidR="00FD621C" w:rsidRDefault="000D0587" w:rsidP="009662B2">
      <w:pPr>
        <w:keepNext/>
        <w:pageBreakBefore/>
      </w:pPr>
      <w:bookmarkStart w:id="107" w:name="_bookmark1"/>
      <w:bookmarkStart w:id="108" w:name="_bookmark0"/>
      <w:bookmarkStart w:id="109" w:name="_Ref100154774"/>
      <w:bookmarkStart w:id="110" w:name="_Toc109635712"/>
      <w:bookmarkEnd w:id="107"/>
      <w:bookmarkEnd w:id="108"/>
      <w:r w:rsidRPr="007F75F6">
        <w:rPr>
          <w:lang w:val="en-GB"/>
        </w:rPr>
        <w:lastRenderedPageBreak/>
        <w:t xml:space="preserve">Table </w:t>
      </w:r>
      <w:r w:rsidRPr="007F75F6">
        <w:rPr>
          <w:lang w:val="en-GB"/>
        </w:rPr>
        <w:fldChar w:fldCharType="begin"/>
      </w:r>
      <w:r w:rsidRPr="007F75F6">
        <w:rPr>
          <w:lang w:val="en-GB"/>
        </w:rPr>
        <w:instrText xml:space="preserve"> SEQ Tabelle \* ARABIC </w:instrText>
      </w:r>
      <w:r w:rsidRPr="007F75F6">
        <w:rPr>
          <w:lang w:val="en-GB"/>
        </w:rPr>
        <w:fldChar w:fldCharType="separate"/>
      </w:r>
      <w:r w:rsidRPr="007F75F6">
        <w:rPr>
          <w:noProof/>
          <w:lang w:val="en-GB"/>
        </w:rPr>
        <w:t>1</w:t>
      </w:r>
      <w:r w:rsidRPr="007F75F6">
        <w:rPr>
          <w:noProof/>
          <w:lang w:val="en-GB"/>
        </w:rPr>
        <w:fldChar w:fldCharType="end"/>
      </w:r>
      <w:bookmarkEnd w:id="109"/>
      <w:r w:rsidRPr="007F75F6">
        <w:rPr>
          <w:lang w:val="en-GB"/>
        </w:rPr>
        <w:t>: Minimum requirement for Power Usage Effectiveness</w:t>
      </w:r>
      <w:bookmarkEnd w:id="110"/>
    </w:p>
    <w:tbl>
      <w:tblPr>
        <w:tblStyle w:val="TabellefrVergabegrundlageKopfzeilegrau"/>
        <w:tblW w:w="8290" w:type="dxa"/>
        <w:tblLook w:val="04A0" w:firstRow="1" w:lastRow="0" w:firstColumn="1" w:lastColumn="0" w:noHBand="0" w:noVBand="1"/>
      </w:tblPr>
      <w:tblGrid>
        <w:gridCol w:w="4945"/>
        <w:gridCol w:w="3345"/>
      </w:tblGrid>
      <w:tr w:rsidR="000D0587" w14:paraId="708A3AD9" w14:textId="77777777" w:rsidTr="008964C3">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6550EB41" w14:textId="507192A7" w:rsidR="000D0587" w:rsidRPr="00C31B97" w:rsidRDefault="000D0587" w:rsidP="000D0587">
            <w:pPr>
              <w:pStyle w:val="Tabellentextfettlinksbndig"/>
            </w:pPr>
            <w:r w:rsidRPr="007F75F6">
              <w:rPr>
                <w:lang w:val="en-GB"/>
              </w:rPr>
              <w:t xml:space="preserve">Date the data </w:t>
            </w:r>
            <w:proofErr w:type="spellStart"/>
            <w:r w:rsidRPr="007F75F6">
              <w:rPr>
                <w:lang w:val="en-GB"/>
              </w:rPr>
              <w:t>center</w:t>
            </w:r>
            <w:proofErr w:type="spellEnd"/>
            <w:r w:rsidRPr="007F75F6">
              <w:rPr>
                <w:lang w:val="en-GB"/>
              </w:rPr>
              <w:t xml:space="preserve"> was commissioned</w:t>
            </w:r>
          </w:p>
        </w:tc>
        <w:tc>
          <w:tcPr>
            <w:tcW w:w="3345" w:type="dxa"/>
          </w:tcPr>
          <w:p w14:paraId="6C5E164B" w14:textId="0657B791" w:rsidR="000D0587" w:rsidRPr="00C31B97" w:rsidRDefault="000D0587" w:rsidP="000D0587">
            <w:pPr>
              <w:pStyle w:val="Tabellentextfettlinksbndig"/>
            </w:pPr>
            <w:r w:rsidRPr="007F75F6">
              <w:rPr>
                <w:lang w:val="en-GB"/>
              </w:rPr>
              <w:t>PUE</w:t>
            </w:r>
          </w:p>
        </w:tc>
      </w:tr>
      <w:tr w:rsidR="000D0587" w14:paraId="3F0204FD" w14:textId="77777777" w:rsidTr="008964C3">
        <w:trPr>
          <w:trHeight w:val="286"/>
        </w:trPr>
        <w:tc>
          <w:tcPr>
            <w:tcW w:w="4945" w:type="dxa"/>
          </w:tcPr>
          <w:p w14:paraId="02007D90" w14:textId="59F3628D" w:rsidR="000D0587" w:rsidRPr="00C31B97" w:rsidRDefault="000D0587" w:rsidP="000D0587">
            <w:pPr>
              <w:pStyle w:val="Tabellentextstandardlinksbndig"/>
            </w:pPr>
            <w:r w:rsidRPr="007F75F6">
              <w:rPr>
                <w:lang w:val="en-GB"/>
              </w:rPr>
              <w:t>01/01/2024 or later</w:t>
            </w:r>
          </w:p>
        </w:tc>
        <w:tc>
          <w:tcPr>
            <w:tcW w:w="3345" w:type="dxa"/>
          </w:tcPr>
          <w:p w14:paraId="67DDB1FC" w14:textId="739EE47E" w:rsidR="000D0587" w:rsidRPr="00C31B97" w:rsidRDefault="000D0587" w:rsidP="000D0587">
            <w:pPr>
              <w:pStyle w:val="Tabellentextstandardlinksbndig"/>
            </w:pPr>
            <w:r w:rsidRPr="007F75F6">
              <w:rPr>
                <w:lang w:val="en-GB"/>
              </w:rPr>
              <w:t>PUE ≤ 1.25</w:t>
            </w:r>
          </w:p>
        </w:tc>
      </w:tr>
      <w:tr w:rsidR="000D0587" w14:paraId="35315BF3" w14:textId="77777777" w:rsidTr="008964C3">
        <w:trPr>
          <w:trHeight w:val="279"/>
        </w:trPr>
        <w:tc>
          <w:tcPr>
            <w:tcW w:w="4945" w:type="dxa"/>
          </w:tcPr>
          <w:p w14:paraId="4B8632BB" w14:textId="6222967F" w:rsidR="000D0587" w:rsidRDefault="000D0587" w:rsidP="000D0587">
            <w:pPr>
              <w:pStyle w:val="Tabellentextstandardlinksbndig"/>
            </w:pPr>
            <w:r w:rsidRPr="007F75F6">
              <w:rPr>
                <w:lang w:val="en-GB"/>
              </w:rPr>
              <w:t xml:space="preserve">Between 01/01/2019 and 31/12/2023 </w:t>
            </w:r>
          </w:p>
        </w:tc>
        <w:tc>
          <w:tcPr>
            <w:tcW w:w="3345" w:type="dxa"/>
          </w:tcPr>
          <w:p w14:paraId="7654FB15" w14:textId="36512F19" w:rsidR="000D0587" w:rsidRDefault="000D0587" w:rsidP="000D0587">
            <w:pPr>
              <w:pStyle w:val="Tabellentextstandardlinksbndig"/>
            </w:pPr>
            <w:r w:rsidRPr="007F75F6">
              <w:rPr>
                <w:lang w:val="en-GB"/>
              </w:rPr>
              <w:t>PUE ≤ 1.30</w:t>
            </w:r>
          </w:p>
        </w:tc>
      </w:tr>
      <w:tr w:rsidR="000D0587" w14:paraId="67D7E2CD" w14:textId="77777777" w:rsidTr="008964C3">
        <w:trPr>
          <w:trHeight w:val="279"/>
        </w:trPr>
        <w:tc>
          <w:tcPr>
            <w:tcW w:w="4945" w:type="dxa"/>
          </w:tcPr>
          <w:p w14:paraId="41A154EA" w14:textId="0C32BA2E" w:rsidR="000D0587" w:rsidRDefault="000D0587" w:rsidP="000D0587">
            <w:pPr>
              <w:pStyle w:val="Tabellentextstandardlinksbndig"/>
            </w:pPr>
            <w:r w:rsidRPr="007F75F6">
              <w:rPr>
                <w:lang w:val="en-GB"/>
              </w:rPr>
              <w:t>Between 01/01/2015 and 31/12/2018</w:t>
            </w:r>
          </w:p>
        </w:tc>
        <w:tc>
          <w:tcPr>
            <w:tcW w:w="3345" w:type="dxa"/>
          </w:tcPr>
          <w:p w14:paraId="65437477" w14:textId="258C74C2" w:rsidR="000D0587" w:rsidRDefault="000D0587" w:rsidP="000D0587">
            <w:pPr>
              <w:pStyle w:val="Tabellentextstandardlinksbndig"/>
            </w:pPr>
            <w:r w:rsidRPr="007F75F6">
              <w:rPr>
                <w:lang w:val="en-GB"/>
              </w:rPr>
              <w:t>PUE ≤ 1.50</w:t>
            </w:r>
          </w:p>
        </w:tc>
      </w:tr>
      <w:tr w:rsidR="000D0587" w14:paraId="7EBA3587" w14:textId="77777777" w:rsidTr="008964C3">
        <w:trPr>
          <w:trHeight w:val="279"/>
        </w:trPr>
        <w:tc>
          <w:tcPr>
            <w:tcW w:w="4945" w:type="dxa"/>
          </w:tcPr>
          <w:p w14:paraId="6024D00D" w14:textId="6B32A600" w:rsidR="000D0587" w:rsidRDefault="000D0587" w:rsidP="000D0587">
            <w:pPr>
              <w:pStyle w:val="Tabellentextstandardlinksbndig"/>
            </w:pPr>
            <w:r w:rsidRPr="007F75F6">
              <w:rPr>
                <w:lang w:val="en-GB"/>
              </w:rPr>
              <w:t>31/12/2014 or earlier</w:t>
            </w:r>
          </w:p>
        </w:tc>
        <w:tc>
          <w:tcPr>
            <w:tcW w:w="3345" w:type="dxa"/>
          </w:tcPr>
          <w:p w14:paraId="7F4E6D0B" w14:textId="44A1A3EA" w:rsidR="000D0587" w:rsidRDefault="000D0587" w:rsidP="000D0587">
            <w:pPr>
              <w:pStyle w:val="Tabellentextstandardlinksbndig"/>
            </w:pPr>
            <w:r w:rsidRPr="007F75F6">
              <w:rPr>
                <w:lang w:val="en-GB"/>
              </w:rPr>
              <w:t>PUE ≤ 1.60</w:t>
            </w:r>
          </w:p>
        </w:tc>
      </w:tr>
    </w:tbl>
    <w:p w14:paraId="48A48A08" w14:textId="77777777" w:rsidR="008964C3" w:rsidRPr="004747C1" w:rsidRDefault="008964C3" w:rsidP="00680424"/>
    <w:p w14:paraId="6B5036D6" w14:textId="77777777" w:rsidR="00FD621C" w:rsidRDefault="00FD621C" w:rsidP="009662B2"/>
    <w:p w14:paraId="434CB13F" w14:textId="77777777" w:rsidR="007E5F40" w:rsidRPr="007F75F6" w:rsidRDefault="007E5F40" w:rsidP="007E5F40">
      <w:pPr>
        <w:rPr>
          <w:lang w:val="en-GB"/>
        </w:rPr>
      </w:pPr>
      <w:r w:rsidRPr="007F75F6">
        <w:rPr>
          <w:lang w:val="en-GB"/>
        </w:rPr>
        <w:t xml:space="preserve">The PUE of the data </w:t>
      </w:r>
      <w:proofErr w:type="spellStart"/>
      <w:r w:rsidRPr="007F75F6">
        <w:rPr>
          <w:lang w:val="en-GB"/>
        </w:rPr>
        <w:t>center</w:t>
      </w:r>
      <w:proofErr w:type="spellEnd"/>
      <w:r w:rsidRPr="007F75F6">
        <w:rPr>
          <w:lang w:val="en-GB"/>
        </w:rPr>
        <w:t xml:space="preserve"> in the period </w:t>
      </w:r>
    </w:p>
    <w:p w14:paraId="70388AC3" w14:textId="77777777" w:rsidR="007E5F40" w:rsidRPr="007F75F6" w:rsidRDefault="007E5F40" w:rsidP="007E5F40">
      <w:pPr>
        <w:rPr>
          <w:lang w:val="en-GB"/>
        </w:rPr>
      </w:pPr>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4430429E" w14:textId="77777777" w:rsidR="007E5F40" w:rsidRPr="007F75F6" w:rsidRDefault="007E5F40" w:rsidP="007E5F40">
      <w:pPr>
        <w:rPr>
          <w:lang w:val="en-GB"/>
        </w:rPr>
      </w:pPr>
    </w:p>
    <w:p w14:paraId="0A7870E8" w14:textId="77777777" w:rsidR="007E5F40" w:rsidRPr="007F75F6" w:rsidRDefault="007E5F40" w:rsidP="007E5F40">
      <w:pPr>
        <w:rPr>
          <w:lang w:val="en-GB"/>
        </w:rPr>
      </w:pPr>
      <w:r w:rsidRPr="007F75F6">
        <w:rPr>
          <w:lang w:val="en-GB"/>
        </w:rPr>
        <w:t xml:space="preserve">The PUE of the data </w:t>
      </w:r>
      <w:proofErr w:type="spellStart"/>
      <w:r w:rsidRPr="007F75F6">
        <w:rPr>
          <w:lang w:val="en-GB"/>
        </w:rPr>
        <w:t>center</w:t>
      </w:r>
      <w:proofErr w:type="spellEnd"/>
      <w:r w:rsidRPr="007F75F6">
        <w:rPr>
          <w:lang w:val="en-GB"/>
        </w:rPr>
        <w:t xml:space="preserve"> in the 1st year after submitting the application</w:t>
      </w:r>
    </w:p>
    <w:p w14:paraId="49902F06" w14:textId="77777777" w:rsidR="007E5F40" w:rsidRPr="007F75F6" w:rsidRDefault="007E5F40" w:rsidP="007E5F40">
      <w:pPr>
        <w:rPr>
          <w:lang w:val="en-GB"/>
        </w:rPr>
      </w:pPr>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3B68E29B" w14:textId="77777777" w:rsidR="007E5F40" w:rsidRPr="007F75F6" w:rsidRDefault="007E5F40" w:rsidP="007E5F40">
      <w:pPr>
        <w:rPr>
          <w:lang w:val="en-GB"/>
        </w:rPr>
      </w:pPr>
    </w:p>
    <w:p w14:paraId="41CA1D97" w14:textId="77777777" w:rsidR="007E5F40" w:rsidRPr="007F75F6" w:rsidRDefault="007E5F40" w:rsidP="007E5F40">
      <w:pPr>
        <w:rPr>
          <w:lang w:val="en-GB"/>
        </w:rPr>
      </w:pPr>
      <w:r w:rsidRPr="007F75F6">
        <w:rPr>
          <w:lang w:val="en-GB"/>
        </w:rPr>
        <w:t xml:space="preserve">The PUE of the data </w:t>
      </w:r>
      <w:proofErr w:type="spellStart"/>
      <w:r w:rsidRPr="007F75F6">
        <w:rPr>
          <w:lang w:val="en-GB"/>
        </w:rPr>
        <w:t>center</w:t>
      </w:r>
      <w:proofErr w:type="spellEnd"/>
      <w:r w:rsidRPr="007F75F6">
        <w:rPr>
          <w:lang w:val="en-GB"/>
        </w:rPr>
        <w:t xml:space="preserve"> in the 2nd year after submitting the application</w:t>
      </w:r>
    </w:p>
    <w:p w14:paraId="01DDF610" w14:textId="77777777" w:rsidR="007E5F40" w:rsidRPr="007F75F6" w:rsidRDefault="007E5F40" w:rsidP="007E5F40">
      <w:pPr>
        <w:rPr>
          <w:lang w:val="en-GB"/>
        </w:rPr>
      </w:pPr>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3B356CE0" w14:textId="77777777" w:rsidR="007E5F40" w:rsidRPr="007F75F6" w:rsidRDefault="007E5F40" w:rsidP="007E5F40">
      <w:pPr>
        <w:rPr>
          <w:lang w:val="en-GB"/>
        </w:rPr>
      </w:pPr>
    </w:p>
    <w:p w14:paraId="0B9E9589" w14:textId="77777777" w:rsidR="007E5F40" w:rsidRPr="007F75F6" w:rsidRDefault="007E5F40" w:rsidP="007E5F40">
      <w:pPr>
        <w:rPr>
          <w:lang w:val="en-GB"/>
        </w:rPr>
      </w:pPr>
      <w:r w:rsidRPr="007F75F6">
        <w:rPr>
          <w:lang w:val="en-GB"/>
        </w:rPr>
        <w:t xml:space="preserve">The PUE of the data </w:t>
      </w:r>
      <w:proofErr w:type="spellStart"/>
      <w:r w:rsidRPr="007F75F6">
        <w:rPr>
          <w:lang w:val="en-GB"/>
        </w:rPr>
        <w:t>center</w:t>
      </w:r>
      <w:proofErr w:type="spellEnd"/>
      <w:r w:rsidRPr="007F75F6">
        <w:rPr>
          <w:lang w:val="en-GB"/>
        </w:rPr>
        <w:t xml:space="preserve"> in the last year before the final evaluation</w:t>
      </w:r>
    </w:p>
    <w:p w14:paraId="611E0C0C" w14:textId="5DDB702D" w:rsidR="002427E9" w:rsidRPr="002943C0" w:rsidRDefault="007E5F40" w:rsidP="007E5F40">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58C106C5" w14:textId="77777777" w:rsidR="00680424" w:rsidRDefault="00680424" w:rsidP="009662B2"/>
    <w:p w14:paraId="002D8851" w14:textId="77777777" w:rsidR="00D768C1" w:rsidRDefault="00D768C1" w:rsidP="009662B2"/>
    <w:p w14:paraId="6DD3293F" w14:textId="7FD5705C" w:rsidR="00FA0056" w:rsidRPr="00680424" w:rsidRDefault="0041157F" w:rsidP="009662B2">
      <w:r w:rsidRPr="007F75F6">
        <w:rPr>
          <w:lang w:val="en-GB"/>
        </w:rPr>
        <w:t>(add additional lines for each additional year where relevant)</w:t>
      </w:r>
    </w:p>
    <w:p w14:paraId="58E23AF7" w14:textId="77777777" w:rsidR="00680424" w:rsidRDefault="00680424" w:rsidP="009662B2"/>
    <w:p w14:paraId="79FCFF4D" w14:textId="1CC5291D" w:rsidR="00446962" w:rsidRPr="00E80289" w:rsidRDefault="00446962"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41157F" w:rsidRPr="007F75F6">
        <w:rPr>
          <w:lang w:val="en-GB"/>
        </w:rPr>
        <w:t>The calculation for the PUE is presented in Annex 3.9.</w:t>
      </w:r>
    </w:p>
    <w:p w14:paraId="79DB2A8D" w14:textId="57090243" w:rsidR="006210B4" w:rsidRDefault="0041157F" w:rsidP="009662B2">
      <w:r w:rsidRPr="007F75F6">
        <w:rPr>
          <w:lang w:val="en-GB"/>
        </w:rPr>
        <w:t>Alternatively</w:t>
      </w:r>
      <w:r w:rsidR="00446962" w:rsidRPr="006B1BD1">
        <w:t xml:space="preserve">: </w:t>
      </w:r>
    </w:p>
    <w:p w14:paraId="67FC4D8B" w14:textId="77A862F0" w:rsidR="00446962"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41157F" w:rsidRPr="007F75F6">
        <w:rPr>
          <w:lang w:val="en-GB"/>
        </w:rPr>
        <w:t>The calculation for the PUE is enclosed as Annex 3.9 with the file name:</w:t>
      </w:r>
    </w:p>
    <w:p w14:paraId="5537C41B" w14:textId="77777777" w:rsidR="00446962" w:rsidRDefault="00446962" w:rsidP="009662B2"/>
    <w:p w14:paraId="576B2E40" w14:textId="77777777" w:rsidR="001A00C9" w:rsidRDefault="001A00C9" w:rsidP="006B1BD1"/>
    <w:p w14:paraId="45DA4369" w14:textId="03D28704" w:rsidR="00905C6F" w:rsidRPr="004747C1" w:rsidRDefault="00AF78A6" w:rsidP="00905C6F">
      <w:r w:rsidRPr="007F75F6">
        <w:rPr>
          <w:b/>
          <w:lang w:val="en-GB"/>
        </w:rPr>
        <w:t xml:space="preserve">Exemption 1: </w:t>
      </w:r>
      <w:r w:rsidRPr="007F75F6">
        <w:rPr>
          <w:lang w:val="en-GB"/>
        </w:rPr>
        <w:t xml:space="preserve">After they have been commissioned, newly built colocation data </w:t>
      </w:r>
      <w:proofErr w:type="spellStart"/>
      <w:r w:rsidRPr="007F75F6">
        <w:rPr>
          <w:lang w:val="en-GB"/>
        </w:rPr>
        <w:t>centers</w:t>
      </w:r>
      <w:proofErr w:type="spellEnd"/>
      <w:r w:rsidRPr="007F75F6">
        <w:rPr>
          <w:lang w:val="en-GB"/>
        </w:rPr>
        <w:t xml:space="preserve"> are often not yet working at full capacity. Therefore, the alternative minimum requirements for the PUE value stated in Table 2 are valid for the first two years after the commissioning of the data </w:t>
      </w:r>
      <w:proofErr w:type="spellStart"/>
      <w:r w:rsidRPr="007F75F6">
        <w:rPr>
          <w:lang w:val="en-GB"/>
        </w:rPr>
        <w:t>center</w:t>
      </w:r>
      <w:proofErr w:type="spellEnd"/>
      <w:r w:rsidRPr="007F75F6">
        <w:rPr>
          <w:lang w:val="en-GB"/>
        </w:rPr>
        <w:t>. These exemptions are valid in each case for the reporting period for the Energy Efficiency Report. These exemptions can only be utilised at the time of application or during the period of use of the environmental label if the start of the reporting period for the Energy Efficiency Report is no longer than 2 years ago.</w:t>
      </w:r>
    </w:p>
    <w:p w14:paraId="6158FE24" w14:textId="77777777" w:rsidR="00924621" w:rsidRDefault="00924621" w:rsidP="00680424">
      <w:bookmarkStart w:id="111" w:name="_Ref116565878"/>
      <w:bookmarkStart w:id="112" w:name="_Toc109635713"/>
    </w:p>
    <w:bookmarkEnd w:id="111"/>
    <w:bookmarkEnd w:id="112"/>
    <w:p w14:paraId="2E1A939B" w14:textId="046FE402" w:rsidR="00905C6F" w:rsidRDefault="00AF78A6" w:rsidP="00680424">
      <w:r w:rsidRPr="007F75F6">
        <w:rPr>
          <w:lang w:val="en-GB"/>
        </w:rPr>
        <w:t xml:space="preserve">Table </w:t>
      </w:r>
      <w:r w:rsidRPr="007F75F6">
        <w:rPr>
          <w:lang w:val="en-GB"/>
        </w:rPr>
        <w:fldChar w:fldCharType="begin"/>
      </w:r>
      <w:r w:rsidRPr="007F75F6">
        <w:rPr>
          <w:lang w:val="en-GB"/>
        </w:rPr>
        <w:instrText xml:space="preserve"> SEQ Tabelle \* ARABIC </w:instrText>
      </w:r>
      <w:r w:rsidRPr="007F75F6">
        <w:rPr>
          <w:lang w:val="en-GB"/>
        </w:rPr>
        <w:fldChar w:fldCharType="separate"/>
      </w:r>
      <w:r w:rsidRPr="007F75F6">
        <w:rPr>
          <w:noProof/>
          <w:lang w:val="en-GB"/>
        </w:rPr>
        <w:t>2</w:t>
      </w:r>
      <w:r w:rsidRPr="007F75F6">
        <w:rPr>
          <w:noProof/>
          <w:lang w:val="en-GB"/>
        </w:rPr>
        <w:fldChar w:fldCharType="end"/>
      </w:r>
      <w:r w:rsidRPr="007F75F6">
        <w:rPr>
          <w:lang w:val="en-GB"/>
        </w:rPr>
        <w:t xml:space="preserve">: PUE exemption for newly commissioned data colocation data </w:t>
      </w:r>
      <w:proofErr w:type="spellStart"/>
      <w:r w:rsidRPr="007F75F6">
        <w:rPr>
          <w:lang w:val="en-GB"/>
        </w:rPr>
        <w:t>centers</w:t>
      </w:r>
      <w:proofErr w:type="spellEnd"/>
    </w:p>
    <w:tbl>
      <w:tblPr>
        <w:tblStyle w:val="TabellefrVergabegrundlageKopfzeilegrau"/>
        <w:tblW w:w="8290" w:type="dxa"/>
        <w:tblLook w:val="04A0" w:firstRow="1" w:lastRow="0" w:firstColumn="1" w:lastColumn="0" w:noHBand="0" w:noVBand="1"/>
      </w:tblPr>
      <w:tblGrid>
        <w:gridCol w:w="7015"/>
        <w:gridCol w:w="1275"/>
      </w:tblGrid>
      <w:tr w:rsidR="00AF78A6" w14:paraId="0CA7D3F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7015" w:type="dxa"/>
          </w:tcPr>
          <w:p w14:paraId="4C9D63B2" w14:textId="5B7E25F5" w:rsidR="00AF78A6" w:rsidRPr="00C31B97" w:rsidRDefault="00AF78A6" w:rsidP="00AF78A6">
            <w:pPr>
              <w:pStyle w:val="Tabellentextfettlinksbndig"/>
            </w:pPr>
            <w:r w:rsidRPr="007F75F6">
              <w:rPr>
                <w:lang w:val="en-GB"/>
              </w:rPr>
              <w:t xml:space="preserve">Commissioning of the colocation data </w:t>
            </w:r>
            <w:proofErr w:type="spellStart"/>
            <w:r w:rsidRPr="007F75F6">
              <w:rPr>
                <w:lang w:val="en-GB"/>
              </w:rPr>
              <w:t>centers</w:t>
            </w:r>
            <w:proofErr w:type="spellEnd"/>
          </w:p>
        </w:tc>
        <w:tc>
          <w:tcPr>
            <w:tcW w:w="1275" w:type="dxa"/>
          </w:tcPr>
          <w:p w14:paraId="4D067AF4" w14:textId="6C37D2A0" w:rsidR="00AF78A6" w:rsidRPr="00C31B97" w:rsidRDefault="00AF78A6" w:rsidP="00AF78A6">
            <w:pPr>
              <w:pStyle w:val="Tabellentextfettlinksbndig"/>
            </w:pPr>
            <w:r w:rsidRPr="007F75F6">
              <w:rPr>
                <w:lang w:val="en-GB"/>
              </w:rPr>
              <w:t>PUE</w:t>
            </w:r>
          </w:p>
        </w:tc>
      </w:tr>
      <w:tr w:rsidR="00AF78A6" w14:paraId="46631178" w14:textId="77777777" w:rsidTr="00924621">
        <w:trPr>
          <w:trHeight w:val="286"/>
        </w:trPr>
        <w:tc>
          <w:tcPr>
            <w:tcW w:w="7015" w:type="dxa"/>
          </w:tcPr>
          <w:p w14:paraId="1D7A43E1" w14:textId="50513E89" w:rsidR="00AF78A6" w:rsidRPr="00C31B97" w:rsidRDefault="00AF78A6" w:rsidP="00AF78A6">
            <w:pPr>
              <w:pStyle w:val="Tabellentextstandardlinksbndig"/>
            </w:pPr>
            <w:r w:rsidRPr="007F75F6">
              <w:rPr>
                <w:lang w:val="en-GB"/>
              </w:rPr>
              <w:t>Less than 1 year ago (commissioning date &lt; 1 year)</w:t>
            </w:r>
          </w:p>
        </w:tc>
        <w:tc>
          <w:tcPr>
            <w:tcW w:w="1275" w:type="dxa"/>
          </w:tcPr>
          <w:p w14:paraId="768AD039" w14:textId="383FB193" w:rsidR="00AF78A6" w:rsidRPr="00C31B97" w:rsidRDefault="00AF78A6" w:rsidP="00AF78A6">
            <w:pPr>
              <w:pStyle w:val="Tabellentextstandardlinksbndig"/>
            </w:pPr>
            <w:r w:rsidRPr="007F75F6">
              <w:rPr>
                <w:lang w:val="en-GB"/>
              </w:rPr>
              <w:t>PUE ≤ 1.50</w:t>
            </w:r>
          </w:p>
        </w:tc>
      </w:tr>
      <w:tr w:rsidR="00AF78A6" w14:paraId="0BE4BA7F" w14:textId="77777777" w:rsidTr="00924621">
        <w:trPr>
          <w:trHeight w:val="279"/>
        </w:trPr>
        <w:tc>
          <w:tcPr>
            <w:tcW w:w="7015" w:type="dxa"/>
          </w:tcPr>
          <w:p w14:paraId="61A1FEAF" w14:textId="64102419" w:rsidR="00AF78A6" w:rsidRDefault="00AF78A6" w:rsidP="00AF78A6">
            <w:pPr>
              <w:pStyle w:val="Tabellentextstandardlinksbndig"/>
            </w:pPr>
            <w:r w:rsidRPr="007F75F6">
              <w:rPr>
                <w:lang w:val="en-GB"/>
              </w:rPr>
              <w:t>Less than 2 years ago (1 year ≤ commissioning date &lt; 2 years)</w:t>
            </w:r>
          </w:p>
        </w:tc>
        <w:tc>
          <w:tcPr>
            <w:tcW w:w="1275" w:type="dxa"/>
          </w:tcPr>
          <w:p w14:paraId="1EB47477" w14:textId="3FA598C9" w:rsidR="00AF78A6" w:rsidRDefault="00AF78A6" w:rsidP="00AF78A6">
            <w:pPr>
              <w:pStyle w:val="Tabellentextstandardlinksbndig"/>
            </w:pPr>
            <w:r w:rsidRPr="007F75F6">
              <w:rPr>
                <w:lang w:val="en-GB"/>
              </w:rPr>
              <w:t>PUE ≤ 1.40</w:t>
            </w:r>
          </w:p>
        </w:tc>
      </w:tr>
    </w:tbl>
    <w:p w14:paraId="60D355A1" w14:textId="77777777" w:rsidR="00924621" w:rsidRDefault="00924621" w:rsidP="00680424"/>
    <w:p w14:paraId="2688E3DF" w14:textId="77777777" w:rsidR="00924621" w:rsidRDefault="00924621" w:rsidP="00680424"/>
    <w:p w14:paraId="6C9AA871" w14:textId="77777777" w:rsidR="00905C6F" w:rsidRDefault="00905C6F" w:rsidP="00905C6F">
      <w:pPr>
        <w:spacing w:before="60" w:after="120" w:line="280" w:lineRule="atLeast"/>
      </w:pPr>
    </w:p>
    <w:p w14:paraId="043CED5E" w14:textId="77777777" w:rsidR="00905C6F" w:rsidRDefault="00905C6F" w:rsidP="00905C6F">
      <w:pPr>
        <w:spacing w:line="240" w:lineRule="auto"/>
        <w:jc w:val="left"/>
      </w:pPr>
    </w:p>
    <w:p w14:paraId="48C7FE17" w14:textId="77777777" w:rsidR="00AF78A6" w:rsidRPr="007F75F6" w:rsidRDefault="00905C6F" w:rsidP="00AF78A6">
      <w:pPr>
        <w:rPr>
          <w:bCs/>
          <w:lang w:val="en-GB"/>
        </w:rPr>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F78A6" w:rsidRPr="007F75F6">
        <w:rPr>
          <w:lang w:val="en-GB"/>
        </w:rPr>
        <w:t xml:space="preserve">Exemption 1 has been utilised, the PUE value of the data </w:t>
      </w:r>
      <w:proofErr w:type="spellStart"/>
      <w:r w:rsidR="00AF78A6" w:rsidRPr="007F75F6">
        <w:rPr>
          <w:lang w:val="en-GB"/>
        </w:rPr>
        <w:t>center</w:t>
      </w:r>
      <w:proofErr w:type="spellEnd"/>
      <w:r w:rsidR="00AF78A6" w:rsidRPr="007F75F6">
        <w:rPr>
          <w:lang w:val="en-GB"/>
        </w:rPr>
        <w:t xml:space="preserve"> in the period </w:t>
      </w:r>
    </w:p>
    <w:p w14:paraId="0E70F237" w14:textId="3B6BA168" w:rsidR="00905C6F" w:rsidRPr="002943C0" w:rsidRDefault="00AF78A6" w:rsidP="00AF78A6">
      <w:pPr>
        <w:rPr>
          <w:bCs/>
        </w:rPr>
      </w:pPr>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1E08E6FF" w14:textId="77777777" w:rsidR="00905C6F" w:rsidRDefault="00905C6F" w:rsidP="009662B2"/>
    <w:p w14:paraId="56929542" w14:textId="3BC38F6D" w:rsidR="00905C6F" w:rsidRPr="00E80289" w:rsidRDefault="00905C6F"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F78A6" w:rsidRPr="007F75F6">
        <w:rPr>
          <w:lang w:val="en-GB"/>
        </w:rPr>
        <w:t>The calculation for the PUE is presented in Annex 3.9.</w:t>
      </w:r>
    </w:p>
    <w:p w14:paraId="5074EFE6" w14:textId="49B0BF3C" w:rsidR="006210B4" w:rsidRDefault="00AF78A6" w:rsidP="009662B2">
      <w:r w:rsidRPr="007F75F6">
        <w:rPr>
          <w:lang w:val="en-GB"/>
        </w:rPr>
        <w:t>Alternatively</w:t>
      </w:r>
    </w:p>
    <w:p w14:paraId="31242C1D" w14:textId="665E77F8" w:rsidR="00905C6F"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F78A6" w:rsidRPr="007F75F6">
        <w:rPr>
          <w:lang w:val="en-GB"/>
        </w:rPr>
        <w:t>The calculation for the PUE is enclosed as Annex 3.9 with the file name:</w:t>
      </w:r>
    </w:p>
    <w:p w14:paraId="53BD1B0B" w14:textId="77777777" w:rsidR="00905C6F" w:rsidRDefault="00905C6F" w:rsidP="009662B2"/>
    <w:p w14:paraId="18C34BEA" w14:textId="77777777" w:rsidR="00446962" w:rsidRDefault="00446962" w:rsidP="00FD621C">
      <w:pPr>
        <w:rPr>
          <w:b/>
          <w:bCs/>
        </w:rPr>
      </w:pPr>
    </w:p>
    <w:p w14:paraId="17441E76" w14:textId="25B88C26" w:rsidR="00FD621C" w:rsidRDefault="00AF78A6" w:rsidP="009662B2">
      <w:r w:rsidRPr="007F75F6">
        <w:rPr>
          <w:b/>
          <w:lang w:val="en-GB"/>
        </w:rPr>
        <w:t xml:space="preserve">Exemption 2: </w:t>
      </w:r>
      <w:r w:rsidRPr="007F75F6">
        <w:rPr>
          <w:lang w:val="en-GB"/>
        </w:rPr>
        <w:t xml:space="preserve">Data </w:t>
      </w:r>
      <w:proofErr w:type="spellStart"/>
      <w:r w:rsidRPr="007F75F6">
        <w:rPr>
          <w:lang w:val="en-GB"/>
        </w:rPr>
        <w:t>centers</w:t>
      </w:r>
      <w:proofErr w:type="spellEnd"/>
      <w:r w:rsidRPr="007F75F6">
        <w:rPr>
          <w:lang w:val="en-GB"/>
        </w:rPr>
        <w:t xml:space="preserve"> that were commissioned less than 15 months ago at the time of the application are exempt from the requirement that the PUE value must be calculated over a measurement </w:t>
      </w:r>
      <w:proofErr w:type="spellStart"/>
      <w:r w:rsidRPr="00FC2F51">
        <w:t>period</w:t>
      </w:r>
      <w:proofErr w:type="spellEnd"/>
      <w:r w:rsidRPr="00FC2F51">
        <w:t xml:space="preserve"> </w:t>
      </w:r>
      <w:proofErr w:type="spellStart"/>
      <w:r w:rsidRPr="00FC2F51">
        <w:t>of</w:t>
      </w:r>
      <w:proofErr w:type="spellEnd"/>
      <w:r w:rsidRPr="00FC2F51">
        <w:t xml:space="preserve"> </w:t>
      </w:r>
      <w:proofErr w:type="spellStart"/>
      <w:r w:rsidRPr="00FC2F51">
        <w:t>twelve</w:t>
      </w:r>
      <w:proofErr w:type="spellEnd"/>
      <w:r w:rsidRPr="00FC2F51">
        <w:t xml:space="preserve"> </w:t>
      </w:r>
      <w:proofErr w:type="spellStart"/>
      <w:r w:rsidRPr="00FC2F51">
        <w:t>months</w:t>
      </w:r>
      <w:proofErr w:type="spellEnd"/>
      <w:r w:rsidRPr="00FC2F51">
        <w:t xml:space="preserve">. At </w:t>
      </w:r>
      <w:proofErr w:type="spellStart"/>
      <w:r w:rsidRPr="00FC2F51">
        <w:t>the</w:t>
      </w:r>
      <w:proofErr w:type="spellEnd"/>
      <w:r w:rsidRPr="00FC2F51">
        <w:t xml:space="preserve"> time </w:t>
      </w:r>
      <w:proofErr w:type="spellStart"/>
      <w:r w:rsidRPr="00FC2F51">
        <w:t>of</w:t>
      </w:r>
      <w:proofErr w:type="spellEnd"/>
      <w:r w:rsidRPr="00FC2F51">
        <w:t xml:space="preserve"> </w:t>
      </w:r>
      <w:proofErr w:type="spellStart"/>
      <w:r w:rsidRPr="00FC2F51">
        <w:t>application</w:t>
      </w:r>
      <w:proofErr w:type="spellEnd"/>
      <w:r w:rsidRPr="00FC2F51">
        <w:t xml:space="preserve">, </w:t>
      </w:r>
      <w:proofErr w:type="spellStart"/>
      <w:r w:rsidRPr="00FC2F51">
        <w:t>these</w:t>
      </w:r>
      <w:proofErr w:type="spellEnd"/>
      <w:r w:rsidRPr="00FC2F51">
        <w:t xml:space="preserve"> </w:t>
      </w:r>
      <w:proofErr w:type="spellStart"/>
      <w:r w:rsidRPr="00FC2F51">
        <w:t>new</w:t>
      </w:r>
      <w:proofErr w:type="spellEnd"/>
      <w:r w:rsidRPr="00FC2F51">
        <w:t xml:space="preserve"> </w:t>
      </w:r>
      <w:proofErr w:type="spellStart"/>
      <w:r w:rsidRPr="00FC2F51">
        <w:t>data</w:t>
      </w:r>
      <w:proofErr w:type="spellEnd"/>
      <w:r w:rsidRPr="00FC2F51">
        <w:t xml:space="preserve"> </w:t>
      </w:r>
      <w:proofErr w:type="spellStart"/>
      <w:r w:rsidRPr="00FC2F51">
        <w:t>new</w:t>
      </w:r>
      <w:proofErr w:type="spellEnd"/>
      <w:r w:rsidRPr="00FC2F51">
        <w:t xml:space="preserve"> </w:t>
      </w:r>
      <w:proofErr w:type="spellStart"/>
      <w:r w:rsidRPr="00FC2F51">
        <w:t>centers</w:t>
      </w:r>
      <w:proofErr w:type="spellEnd"/>
      <w:r w:rsidRPr="00FC2F51">
        <w:t xml:space="preserve"> must </w:t>
      </w:r>
      <w:proofErr w:type="spellStart"/>
      <w:r w:rsidRPr="00FC2F51">
        <w:t>calculate</w:t>
      </w:r>
      <w:proofErr w:type="spellEnd"/>
      <w:r w:rsidRPr="00FC2F51">
        <w:t xml:space="preserve"> </w:t>
      </w:r>
      <w:proofErr w:type="spellStart"/>
      <w:r w:rsidRPr="00FC2F51">
        <w:t>the</w:t>
      </w:r>
      <w:proofErr w:type="spellEnd"/>
      <w:r w:rsidRPr="00FC2F51">
        <w:t xml:space="preserve"> </w:t>
      </w:r>
      <w:proofErr w:type="spellStart"/>
      <w:r w:rsidRPr="00FC2F51">
        <w:t>expected</w:t>
      </w:r>
      <w:proofErr w:type="spellEnd"/>
      <w:r w:rsidRPr="00FC2F51">
        <w:t xml:space="preserve"> PUE</w:t>
      </w:r>
      <w:r w:rsidRPr="007F75F6">
        <w:rPr>
          <w:lang w:val="en-GB"/>
        </w:rPr>
        <w:t xml:space="preserve"> value 12 months after it has been commissioned based on the planning data according to DIN EN 50600 from a qualified specialist planner, in which the calculation of the PUE value reflects the expected status of the data </w:t>
      </w:r>
      <w:proofErr w:type="spellStart"/>
      <w:r w:rsidRPr="007F75F6">
        <w:rPr>
          <w:lang w:val="en-GB"/>
        </w:rPr>
        <w:t>center</w:t>
      </w:r>
      <w:proofErr w:type="spellEnd"/>
      <w:r w:rsidRPr="007F75F6">
        <w:rPr>
          <w:lang w:val="en-GB"/>
        </w:rPr>
        <w:t xml:space="preserve"> 12 months after it has been commissioned. The measurement results must verify compliance with the minimum requirements in Table 2 at the latest 15 months after the commissioning date.</w:t>
      </w:r>
    </w:p>
    <w:p w14:paraId="2B514F2A" w14:textId="77777777" w:rsidR="00E046CA" w:rsidRDefault="00E046CA" w:rsidP="009662B2"/>
    <w:p w14:paraId="667A1650" w14:textId="77777777" w:rsidR="00AF78A6" w:rsidRDefault="00E046CA" w:rsidP="009662B2">
      <w:pPr>
        <w:rPr>
          <w:lang w:val="en-GB"/>
        </w:rPr>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AF78A6" w:rsidRPr="007F75F6">
        <w:rPr>
          <w:lang w:val="en-GB"/>
        </w:rPr>
        <w:t>Exemption 2 has been utilised, the calculated PUE value (</w:t>
      </w:r>
      <w:proofErr w:type="spellStart"/>
      <w:r w:rsidR="00AF78A6" w:rsidRPr="007F75F6">
        <w:rPr>
          <w:lang w:val="en-GB"/>
        </w:rPr>
        <w:t>dPUE</w:t>
      </w:r>
      <w:proofErr w:type="spellEnd"/>
      <w:r w:rsidR="00AF78A6" w:rsidRPr="007F75F6">
        <w:rPr>
          <w:lang w:val="en-GB"/>
        </w:rPr>
        <w:t xml:space="preserve">) for the data </w:t>
      </w:r>
      <w:proofErr w:type="spellStart"/>
      <w:r w:rsidR="00AF78A6" w:rsidRPr="007F75F6">
        <w:rPr>
          <w:lang w:val="en-GB"/>
        </w:rPr>
        <w:t>center</w:t>
      </w:r>
      <w:proofErr w:type="spellEnd"/>
    </w:p>
    <w:p w14:paraId="6956BDDF" w14:textId="5F5BF95C" w:rsidR="00E046CA" w:rsidRDefault="00AF78A6" w:rsidP="009662B2">
      <w:r w:rsidRPr="007F75F6">
        <w:rPr>
          <w:lang w:val="en-GB"/>
        </w:rPr>
        <w:t>is:</w:t>
      </w:r>
      <w:r w:rsidRPr="007F75F6">
        <w:rPr>
          <w:lang w:val="en-GB"/>
        </w:rPr>
        <w:tab/>
      </w:r>
      <w:r w:rsidRPr="007F75F6">
        <w:rPr>
          <w:lang w:val="en-GB"/>
        </w:rPr>
        <w:tab/>
        <w:t xml:space="preserve">         </w:t>
      </w:r>
      <w:proofErr w:type="gramStart"/>
      <w:r w:rsidRPr="007F75F6">
        <w:rPr>
          <w:lang w:val="en-GB"/>
        </w:rPr>
        <w:t xml:space="preserve">   (</w:t>
      </w:r>
      <w:proofErr w:type="gramEnd"/>
      <w:r w:rsidRPr="007F75F6">
        <w:rPr>
          <w:lang w:val="en-GB"/>
        </w:rPr>
        <w:t xml:space="preserve">state the </w:t>
      </w:r>
      <w:proofErr w:type="spellStart"/>
      <w:r w:rsidRPr="007F75F6">
        <w:rPr>
          <w:lang w:val="en-GB"/>
        </w:rPr>
        <w:t>dPUE</w:t>
      </w:r>
      <w:proofErr w:type="spellEnd"/>
      <w:r w:rsidRPr="007F75F6">
        <w:rPr>
          <w:lang w:val="en-GB"/>
        </w:rPr>
        <w:t xml:space="preserve"> value)</w:t>
      </w:r>
    </w:p>
    <w:p w14:paraId="3FBEF605" w14:textId="0BC6DF31" w:rsidR="00E046CA" w:rsidRDefault="00AF78A6" w:rsidP="009662B2">
      <w:r w:rsidRPr="007F75F6">
        <w:rPr>
          <w:lang w:val="en-GB"/>
        </w:rPr>
        <w:t>The calculation is enclosed as Annex 3.9 with the file name:</w:t>
      </w:r>
    </w:p>
    <w:p w14:paraId="1BF0E7C6" w14:textId="77777777" w:rsidR="00E046CA" w:rsidRDefault="00E046CA" w:rsidP="009662B2"/>
    <w:p w14:paraId="03F85520" w14:textId="77777777" w:rsidR="00E046CA" w:rsidRPr="004747C1" w:rsidRDefault="00E046CA" w:rsidP="009662B2"/>
    <w:p w14:paraId="68E656F5" w14:textId="77777777" w:rsidR="0078583F" w:rsidRDefault="0078583F" w:rsidP="0078583F">
      <w:pPr>
        <w:rPr>
          <w:b/>
          <w:bCs/>
        </w:rPr>
      </w:pPr>
    </w:p>
    <w:p w14:paraId="67A2E6E5" w14:textId="408E7AB9" w:rsidR="00A37BBB" w:rsidRPr="00FC2F51" w:rsidRDefault="00FC2F51" w:rsidP="00FC2F51">
      <w:pPr>
        <w:pStyle w:val="b3"/>
      </w:pPr>
      <w:bookmarkStart w:id="113" w:name="_Toc97737858"/>
      <w:bookmarkStart w:id="114" w:name="_Ref100834374"/>
      <w:bookmarkStart w:id="115" w:name="_Ref107830221"/>
      <w:bookmarkStart w:id="116" w:name="_Toc109635690"/>
      <w:bookmarkStart w:id="117" w:name="_Ref112320113"/>
      <w:bookmarkStart w:id="118" w:name="_Toc129875205"/>
      <w:r w:rsidRPr="00FC2F51">
        <w:t>Cooling Efficiency Ratio</w:t>
      </w:r>
      <w:bookmarkEnd w:id="113"/>
      <w:bookmarkEnd w:id="114"/>
      <w:bookmarkEnd w:id="115"/>
      <w:bookmarkEnd w:id="116"/>
      <w:r w:rsidRPr="00FC2F51">
        <w:t xml:space="preserve"> (CER)</w:t>
      </w:r>
      <w:bookmarkEnd w:id="117"/>
      <w:bookmarkEnd w:id="118"/>
    </w:p>
    <w:p w14:paraId="6F80BCA0" w14:textId="316FD5AF" w:rsidR="00860D41" w:rsidRDefault="00FC2F51" w:rsidP="00924621">
      <w:r w:rsidRPr="007F75F6">
        <w:rPr>
          <w:lang w:val="en-GB"/>
        </w:rPr>
        <w:t xml:space="preserve">The energy efficiency of the cooling system must be determined using the performance indicator </w:t>
      </w:r>
      <w:r w:rsidRPr="007F75F6">
        <w:rPr>
          <w:i/>
          <w:lang w:val="en-GB"/>
        </w:rPr>
        <w:t>Cooling Efficiency Ratio</w:t>
      </w:r>
      <w:r w:rsidRPr="007F75F6">
        <w:rPr>
          <w:lang w:val="en-GB"/>
        </w:rPr>
        <w:t xml:space="preserve"> (CER) in accordance with the </w:t>
      </w:r>
      <w:r w:rsidRPr="007F75F6">
        <w:rPr>
          <w:shd w:val="clear" w:color="auto" w:fill="FFFFFF" w:themeFill="background1"/>
          <w:lang w:val="en-GB"/>
        </w:rPr>
        <w:t xml:space="preserve">DIN EN 50600-4-7 standard. The Cooling Efficiency Ratio (CER) describes the ratio of the cooling load </w:t>
      </w:r>
      <w:proofErr w:type="spellStart"/>
      <w:proofErr w:type="gramStart"/>
      <w:r w:rsidRPr="007F75F6">
        <w:rPr>
          <w:shd w:val="clear" w:color="auto" w:fill="FFFFFF" w:themeFill="background1"/>
          <w:lang w:val="en-GB"/>
        </w:rPr>
        <w:t>Q</w:t>
      </w:r>
      <w:r w:rsidRPr="007F75F6">
        <w:rPr>
          <w:shd w:val="clear" w:color="auto" w:fill="FFFFFF" w:themeFill="background1"/>
          <w:vertAlign w:val="subscript"/>
          <w:lang w:val="en-GB"/>
        </w:rPr>
        <w:t>th,DC</w:t>
      </w:r>
      <w:proofErr w:type="gramEnd"/>
      <w:r w:rsidRPr="007F75F6">
        <w:rPr>
          <w:shd w:val="clear" w:color="auto" w:fill="FFFFFF" w:themeFill="background1"/>
          <w:vertAlign w:val="subscript"/>
          <w:lang w:val="en-GB"/>
        </w:rPr>
        <w:t>,a</w:t>
      </w:r>
      <w:proofErr w:type="spellEnd"/>
      <w:r w:rsidRPr="007F75F6">
        <w:rPr>
          <w:shd w:val="clear" w:color="auto" w:fill="FFFFFF" w:themeFill="background1"/>
          <w:lang w:val="en-GB"/>
        </w:rPr>
        <w:t xml:space="preserve"> [</w:t>
      </w:r>
      <w:proofErr w:type="spellStart"/>
      <w:r w:rsidRPr="007F75F6">
        <w:rPr>
          <w:shd w:val="clear" w:color="auto" w:fill="FFFFFF" w:themeFill="background1"/>
          <w:lang w:val="en-GB"/>
        </w:rPr>
        <w:t>MWh</w:t>
      </w:r>
      <w:r w:rsidRPr="007F75F6">
        <w:rPr>
          <w:shd w:val="clear" w:color="auto" w:fill="FFFFFF" w:themeFill="background1"/>
          <w:vertAlign w:val="subscript"/>
          <w:lang w:val="en-GB"/>
        </w:rPr>
        <w:t>th</w:t>
      </w:r>
      <w:proofErr w:type="spellEnd"/>
      <w:r w:rsidRPr="007F75F6">
        <w:rPr>
          <w:shd w:val="clear" w:color="auto" w:fill="FFFFFF" w:themeFill="background1"/>
          <w:lang w:val="en-GB"/>
        </w:rPr>
        <w:t xml:space="preserve">/a] in the data </w:t>
      </w:r>
      <w:proofErr w:type="spellStart"/>
      <w:r w:rsidRPr="007F75F6">
        <w:rPr>
          <w:shd w:val="clear" w:color="auto" w:fill="FFFFFF" w:themeFill="background1"/>
          <w:lang w:val="en-GB"/>
        </w:rPr>
        <w:t>center</w:t>
      </w:r>
      <w:proofErr w:type="spellEnd"/>
      <w:r w:rsidRPr="007F75F6">
        <w:rPr>
          <w:shd w:val="clear" w:color="auto" w:fill="FFFFFF" w:themeFill="background1"/>
          <w:lang w:val="en-GB"/>
        </w:rPr>
        <w:t xml:space="preserve"> that is handled by the cooling system (CS) within one year (12 months) to the total electrical energy input into the entire cooling system </w:t>
      </w:r>
      <w:proofErr w:type="spellStart"/>
      <w:r w:rsidRPr="007F75F6">
        <w:rPr>
          <w:shd w:val="clear" w:color="auto" w:fill="FFFFFF" w:themeFill="background1"/>
          <w:lang w:val="en-GB"/>
        </w:rPr>
        <w:t>E</w:t>
      </w:r>
      <w:r w:rsidRPr="007F75F6">
        <w:rPr>
          <w:shd w:val="clear" w:color="auto" w:fill="FFFFFF" w:themeFill="background1"/>
          <w:vertAlign w:val="subscript"/>
          <w:lang w:val="en-GB"/>
        </w:rPr>
        <w:t>CS,a</w:t>
      </w:r>
      <w:proofErr w:type="spellEnd"/>
      <w:r w:rsidRPr="007F75F6">
        <w:rPr>
          <w:shd w:val="clear" w:color="auto" w:fill="FFFFFF" w:themeFill="background1"/>
          <w:lang w:val="en-GB"/>
        </w:rPr>
        <w:t xml:space="preserve"> [</w:t>
      </w:r>
      <w:proofErr w:type="spellStart"/>
      <w:r w:rsidRPr="007F75F6">
        <w:rPr>
          <w:shd w:val="clear" w:color="auto" w:fill="FFFFFF" w:themeFill="background1"/>
          <w:lang w:val="en-GB"/>
        </w:rPr>
        <w:t>MWh</w:t>
      </w:r>
      <w:r w:rsidRPr="007F75F6">
        <w:rPr>
          <w:shd w:val="clear" w:color="auto" w:fill="FFFFFF" w:themeFill="background1"/>
          <w:vertAlign w:val="subscript"/>
          <w:lang w:val="en-GB"/>
        </w:rPr>
        <w:t>el</w:t>
      </w:r>
      <w:proofErr w:type="spellEnd"/>
      <w:r w:rsidRPr="007F75F6">
        <w:rPr>
          <w:shd w:val="clear" w:color="auto" w:fill="FFFFFF" w:themeFill="background1"/>
          <w:lang w:val="en-GB"/>
        </w:rPr>
        <w:t>/a].</w:t>
      </w:r>
    </w:p>
    <w:p w14:paraId="38D1335F" w14:textId="77777777" w:rsidR="00A37BBB" w:rsidRPr="004747C1" w:rsidRDefault="00A37BBB" w:rsidP="00A37BBB">
      <w:pPr>
        <w:spacing w:before="60" w:after="120" w:line="280" w:lineRule="atLeast"/>
      </w:pPr>
      <m:oMathPara>
        <m:oMath>
          <m:r>
            <w:rPr>
              <w:rFonts w:ascii="Cambria Math" w:hAnsi="Cambria Math"/>
            </w:rPr>
            <m:t>CER=</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th, RZ, a</m:t>
                  </m:r>
                </m:sub>
              </m:sSub>
            </m:num>
            <m:den>
              <m:sSub>
                <m:sSubPr>
                  <m:ctrlPr>
                    <w:rPr>
                      <w:rFonts w:ascii="Cambria Math" w:hAnsi="Cambria Math"/>
                      <w:i/>
                    </w:rPr>
                  </m:ctrlPr>
                </m:sSubPr>
                <m:e>
                  <m:r>
                    <w:rPr>
                      <w:rFonts w:ascii="Cambria Math" w:hAnsi="Cambria Math"/>
                    </w:rPr>
                    <m:t>E</m:t>
                  </m:r>
                </m:e>
                <m:sub>
                  <m:r>
                    <w:rPr>
                      <w:rFonts w:ascii="Cambria Math" w:hAnsi="Cambria Math"/>
                    </w:rPr>
                    <m:t>KS,a</m:t>
                  </m:r>
                </m:sub>
              </m:sSub>
            </m:den>
          </m:f>
          <m:r>
            <w:rPr>
              <w:rFonts w:ascii="Cambria Math" w:hAnsi="Cambria Math"/>
            </w:rPr>
            <m:t xml:space="preserve"> </m:t>
          </m:r>
        </m:oMath>
      </m:oMathPara>
    </w:p>
    <w:p w14:paraId="4CAC970E" w14:textId="77777777" w:rsidR="00860D41" w:rsidRDefault="00860D41" w:rsidP="00A37BBB">
      <w:pPr>
        <w:rPr>
          <w:shd w:val="clear" w:color="auto" w:fill="FFFFFF" w:themeFill="background1"/>
        </w:rPr>
      </w:pPr>
      <w:bookmarkStart w:id="119" w:name="_Ref17288604"/>
      <w:bookmarkStart w:id="120" w:name="_Ref528916391"/>
      <w:bookmarkStart w:id="121" w:name="_Ref23514523"/>
      <w:bookmarkStart w:id="122" w:name="_Ref535583660"/>
    </w:p>
    <w:p w14:paraId="142BE23C" w14:textId="4CB3B957" w:rsidR="00A37BBB" w:rsidRPr="00A37BBB" w:rsidRDefault="00FC2F51" w:rsidP="00A37BBB">
      <w:pPr>
        <w:rPr>
          <w:shd w:val="clear" w:color="auto" w:fill="FFFFFF" w:themeFill="background1"/>
        </w:rPr>
      </w:pPr>
      <w:r w:rsidRPr="007F75F6">
        <w:rPr>
          <w:shd w:val="clear" w:color="auto" w:fill="FFFFFF" w:themeFill="background1"/>
          <w:lang w:val="en-GB"/>
        </w:rPr>
        <w:t>Depending on the commissioning date, the following values must be observed:</w:t>
      </w:r>
    </w:p>
    <w:p w14:paraId="7292CBB8" w14:textId="77777777" w:rsidR="00924621" w:rsidRDefault="00924621" w:rsidP="00680424">
      <w:bookmarkStart w:id="123" w:name="_Toc109635714"/>
    </w:p>
    <w:bookmarkEnd w:id="119"/>
    <w:bookmarkEnd w:id="120"/>
    <w:bookmarkEnd w:id="121"/>
    <w:bookmarkEnd w:id="122"/>
    <w:bookmarkEnd w:id="123"/>
    <w:p w14:paraId="049E4D54" w14:textId="22D66155" w:rsidR="00A37BBB" w:rsidRDefault="00FC2F51" w:rsidP="00680424">
      <w:r w:rsidRPr="007F75F6">
        <w:rPr>
          <w:lang w:val="en-GB"/>
        </w:rPr>
        <w:t>Table 3: Minimum requirement for the Cooling Efficiency Ratio (CER)</w:t>
      </w:r>
    </w:p>
    <w:tbl>
      <w:tblPr>
        <w:tblStyle w:val="TabellefrVergabegrundlageKopfzeilegrau"/>
        <w:tblW w:w="8290" w:type="dxa"/>
        <w:tblLook w:val="04A0" w:firstRow="1" w:lastRow="0" w:firstColumn="1" w:lastColumn="0" w:noHBand="0" w:noVBand="1"/>
      </w:tblPr>
      <w:tblGrid>
        <w:gridCol w:w="4945"/>
        <w:gridCol w:w="3345"/>
      </w:tblGrid>
      <w:tr w:rsidR="00FC2F51" w14:paraId="7D7A790F" w14:textId="77777777" w:rsidTr="007A0BA5">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4809502E" w14:textId="799B0C48" w:rsidR="00FC2F51" w:rsidRPr="00C31B97" w:rsidRDefault="00FC2F51" w:rsidP="00FC2F51">
            <w:pPr>
              <w:pStyle w:val="Tabellentextfettlinksbndig"/>
            </w:pPr>
            <w:r w:rsidRPr="007F75F6">
              <w:rPr>
                <w:lang w:val="en-GB"/>
              </w:rPr>
              <w:t>Date the cooling system was commissioned</w:t>
            </w:r>
          </w:p>
        </w:tc>
        <w:tc>
          <w:tcPr>
            <w:tcW w:w="3345" w:type="dxa"/>
          </w:tcPr>
          <w:p w14:paraId="2855C530" w14:textId="5F92FD58" w:rsidR="00FC2F51" w:rsidRPr="00C31B97" w:rsidRDefault="00FC2F51" w:rsidP="00FC2F51">
            <w:pPr>
              <w:pStyle w:val="Tabellentextfettlinksbndig"/>
            </w:pPr>
            <w:r w:rsidRPr="007F75F6">
              <w:rPr>
                <w:lang w:val="en-GB"/>
              </w:rPr>
              <w:t>CER</w:t>
            </w:r>
          </w:p>
        </w:tc>
      </w:tr>
      <w:tr w:rsidR="00FC2F51" w14:paraId="281381B0" w14:textId="77777777" w:rsidTr="007A0BA5">
        <w:trPr>
          <w:trHeight w:val="286"/>
        </w:trPr>
        <w:tc>
          <w:tcPr>
            <w:tcW w:w="4945" w:type="dxa"/>
          </w:tcPr>
          <w:p w14:paraId="5E831E3F" w14:textId="22BE65A9" w:rsidR="00FC2F51" w:rsidRPr="00C31B97" w:rsidRDefault="00FC2F51" w:rsidP="00FC2F51">
            <w:pPr>
              <w:pStyle w:val="Tabellentextstandardlinksbndig"/>
            </w:pPr>
            <w:r w:rsidRPr="007F75F6">
              <w:rPr>
                <w:lang w:val="en-GB"/>
              </w:rPr>
              <w:t>01/01/2024 or later</w:t>
            </w:r>
          </w:p>
        </w:tc>
        <w:tc>
          <w:tcPr>
            <w:tcW w:w="3345" w:type="dxa"/>
          </w:tcPr>
          <w:p w14:paraId="672C4302" w14:textId="4FBA1A24" w:rsidR="00FC2F51" w:rsidRPr="00C31B97" w:rsidRDefault="00FC2F51" w:rsidP="00FC2F51">
            <w:pPr>
              <w:pStyle w:val="Tabellentextstandardlinksbndig"/>
            </w:pPr>
            <w:r w:rsidRPr="007F75F6">
              <w:rPr>
                <w:lang w:val="en-GB"/>
              </w:rPr>
              <w:t>CER &gt; 9</w:t>
            </w:r>
          </w:p>
        </w:tc>
      </w:tr>
      <w:tr w:rsidR="00FC2F51" w14:paraId="58903295" w14:textId="77777777" w:rsidTr="007A0BA5">
        <w:trPr>
          <w:trHeight w:val="279"/>
        </w:trPr>
        <w:tc>
          <w:tcPr>
            <w:tcW w:w="4945" w:type="dxa"/>
          </w:tcPr>
          <w:p w14:paraId="0F630E3D" w14:textId="0A82F6FA" w:rsidR="00FC2F51" w:rsidRDefault="00FC2F51" w:rsidP="00FC2F51">
            <w:pPr>
              <w:pStyle w:val="Tabellentextstandardlinksbndig"/>
            </w:pPr>
            <w:r w:rsidRPr="007F75F6">
              <w:rPr>
                <w:lang w:val="en-GB"/>
              </w:rPr>
              <w:t>Between 01/01/2019 and 31/12/2023</w:t>
            </w:r>
          </w:p>
        </w:tc>
        <w:tc>
          <w:tcPr>
            <w:tcW w:w="3345" w:type="dxa"/>
          </w:tcPr>
          <w:p w14:paraId="6625F0B5" w14:textId="6A8B4B6F" w:rsidR="00FC2F51" w:rsidRDefault="00FC2F51" w:rsidP="00FC2F51">
            <w:pPr>
              <w:pStyle w:val="Tabellentextstandardlinksbndig"/>
            </w:pPr>
            <w:r w:rsidRPr="007F75F6">
              <w:rPr>
                <w:lang w:val="en-GB"/>
              </w:rPr>
              <w:t>CER &gt; 8</w:t>
            </w:r>
          </w:p>
        </w:tc>
      </w:tr>
      <w:tr w:rsidR="00FC2F51" w14:paraId="258A63E7" w14:textId="77777777" w:rsidTr="007A0BA5">
        <w:trPr>
          <w:trHeight w:val="279"/>
        </w:trPr>
        <w:tc>
          <w:tcPr>
            <w:tcW w:w="4945" w:type="dxa"/>
          </w:tcPr>
          <w:p w14:paraId="2EF16E5F" w14:textId="48DF8111" w:rsidR="00FC2F51" w:rsidRDefault="00FC2F51" w:rsidP="00FC2F51">
            <w:pPr>
              <w:pStyle w:val="Tabellentextstandardlinksbndig"/>
            </w:pPr>
            <w:r w:rsidRPr="007F75F6">
              <w:rPr>
                <w:lang w:val="en-GB"/>
              </w:rPr>
              <w:lastRenderedPageBreak/>
              <w:t>Between 01/01/2015 and 31/12/2018</w:t>
            </w:r>
          </w:p>
        </w:tc>
        <w:tc>
          <w:tcPr>
            <w:tcW w:w="3345" w:type="dxa"/>
          </w:tcPr>
          <w:p w14:paraId="7F241018" w14:textId="3154C432" w:rsidR="00FC2F51" w:rsidRDefault="00FC2F51" w:rsidP="00FC2F51">
            <w:pPr>
              <w:pStyle w:val="Tabellentextstandardlinksbndig"/>
            </w:pPr>
            <w:r w:rsidRPr="007F75F6">
              <w:rPr>
                <w:lang w:val="en-GB"/>
              </w:rPr>
              <w:t>CER &gt; 7</w:t>
            </w:r>
          </w:p>
        </w:tc>
      </w:tr>
      <w:tr w:rsidR="00FC2F51" w14:paraId="6164AA9F" w14:textId="77777777" w:rsidTr="007A0BA5">
        <w:trPr>
          <w:trHeight w:val="279"/>
        </w:trPr>
        <w:tc>
          <w:tcPr>
            <w:tcW w:w="4945" w:type="dxa"/>
          </w:tcPr>
          <w:p w14:paraId="49276012" w14:textId="0113A770" w:rsidR="00FC2F51" w:rsidRDefault="00FC2F51" w:rsidP="00FC2F51">
            <w:pPr>
              <w:pStyle w:val="Tabellentextstandardlinksbndig"/>
            </w:pPr>
            <w:r w:rsidRPr="007F75F6">
              <w:rPr>
                <w:lang w:val="en-GB"/>
              </w:rPr>
              <w:t>31/12/2014 or earlier</w:t>
            </w:r>
          </w:p>
        </w:tc>
        <w:tc>
          <w:tcPr>
            <w:tcW w:w="3345" w:type="dxa"/>
          </w:tcPr>
          <w:p w14:paraId="069D7380" w14:textId="497FC135" w:rsidR="00FC2F51" w:rsidRDefault="00FC2F51" w:rsidP="00FC2F51">
            <w:pPr>
              <w:pStyle w:val="Tabellentextstandardlinksbndig"/>
            </w:pPr>
            <w:r w:rsidRPr="007F75F6">
              <w:rPr>
                <w:lang w:val="en-GB"/>
              </w:rPr>
              <w:t>CER &gt; 5</w:t>
            </w:r>
          </w:p>
        </w:tc>
      </w:tr>
    </w:tbl>
    <w:p w14:paraId="6DF28DA5" w14:textId="77777777" w:rsidR="00924621" w:rsidRDefault="00924621" w:rsidP="00680424"/>
    <w:p w14:paraId="0D30E4C3" w14:textId="77777777" w:rsidR="00A37BBB" w:rsidRDefault="00A37BBB" w:rsidP="00A37BBB"/>
    <w:p w14:paraId="2C0E1DC1" w14:textId="77777777" w:rsidR="0008130C" w:rsidRPr="007F75F6" w:rsidRDefault="0008130C" w:rsidP="0008130C">
      <w:pPr>
        <w:rPr>
          <w:bCs/>
          <w:lang w:val="en-GB"/>
        </w:rPr>
      </w:pPr>
      <w:r w:rsidRPr="007F75F6">
        <w:rPr>
          <w:lang w:val="en-GB"/>
        </w:rPr>
        <w:t xml:space="preserve">The CER of the data </w:t>
      </w:r>
      <w:proofErr w:type="spellStart"/>
      <w:r w:rsidRPr="007F75F6">
        <w:rPr>
          <w:lang w:val="en-GB"/>
        </w:rPr>
        <w:t>center</w:t>
      </w:r>
      <w:proofErr w:type="spellEnd"/>
      <w:r w:rsidRPr="007F75F6">
        <w:rPr>
          <w:lang w:val="en-GB"/>
        </w:rPr>
        <w:t xml:space="preserve"> in the period </w:t>
      </w:r>
    </w:p>
    <w:p w14:paraId="41943ACA" w14:textId="3498412B" w:rsidR="00A37BBB" w:rsidRPr="002943C0" w:rsidRDefault="0008130C" w:rsidP="0008130C">
      <w:pPr>
        <w:rPr>
          <w:bCs/>
        </w:rPr>
      </w:pPr>
      <w:r w:rsidRPr="007F75F6">
        <w:rPr>
          <w:lang w:val="en-GB"/>
        </w:rPr>
        <w:tab/>
        <w:t xml:space="preserve">from                              to                           was:                  </w:t>
      </w:r>
      <w:proofErr w:type="gramStart"/>
      <w:r w:rsidRPr="007F75F6">
        <w:rPr>
          <w:lang w:val="en-GB"/>
        </w:rPr>
        <w:t xml:space="preserve">   (</w:t>
      </w:r>
      <w:proofErr w:type="gramEnd"/>
      <w:r w:rsidRPr="007F75F6">
        <w:rPr>
          <w:lang w:val="en-GB"/>
        </w:rPr>
        <w:t>state the CER value)</w:t>
      </w:r>
    </w:p>
    <w:p w14:paraId="6EA02648" w14:textId="77777777" w:rsidR="00A37BBB" w:rsidRDefault="00A37BBB" w:rsidP="00A37BBB">
      <w:pPr>
        <w:rPr>
          <w:b/>
          <w:bCs/>
        </w:rPr>
      </w:pPr>
    </w:p>
    <w:p w14:paraId="10E97C43" w14:textId="4D562401" w:rsidR="00680424" w:rsidRPr="00680424" w:rsidRDefault="0008130C" w:rsidP="00680424">
      <w:r w:rsidRPr="007F75F6">
        <w:rPr>
          <w:lang w:val="en-GB"/>
        </w:rPr>
        <w:t>(add additional lines for each year for the final evaluation)</w:t>
      </w:r>
    </w:p>
    <w:p w14:paraId="6850E397" w14:textId="77777777" w:rsidR="00680424" w:rsidRDefault="00680424" w:rsidP="00A37BBB">
      <w:pPr>
        <w:rPr>
          <w:b/>
          <w:bCs/>
        </w:rPr>
      </w:pPr>
    </w:p>
    <w:p w14:paraId="0237FC1D" w14:textId="03D33106" w:rsidR="00A37BBB" w:rsidRDefault="00A37BBB" w:rsidP="00A37BBB">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08130C" w:rsidRPr="007F75F6">
        <w:rPr>
          <w:lang w:val="en-GB"/>
        </w:rPr>
        <w:t>The calculation for the CER is presented in Annex 3.9.</w:t>
      </w:r>
    </w:p>
    <w:p w14:paraId="38CF995C" w14:textId="35C21FFC" w:rsidR="006210B4" w:rsidRPr="00E80289" w:rsidRDefault="0008130C" w:rsidP="00A37BBB">
      <w:r w:rsidRPr="007F75F6">
        <w:rPr>
          <w:lang w:val="en-GB"/>
        </w:rPr>
        <w:t>Alternatively:</w:t>
      </w:r>
    </w:p>
    <w:p w14:paraId="0F3B3A71" w14:textId="29305ECA" w:rsidR="00A37BBB" w:rsidRPr="004747C1" w:rsidRDefault="006210B4" w:rsidP="00A37BBB">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08130C" w:rsidRPr="007F75F6">
        <w:rPr>
          <w:lang w:val="en-GB"/>
        </w:rPr>
        <w:t>The calculation for the CER is enclosed as Annex 3.9 with the file name:</w:t>
      </w:r>
    </w:p>
    <w:p w14:paraId="6E3DA743" w14:textId="77777777" w:rsidR="00A37BBB" w:rsidRDefault="00A37BBB" w:rsidP="00A37BBB"/>
    <w:p w14:paraId="4E46A79B" w14:textId="77777777" w:rsidR="00A37BBB" w:rsidRDefault="00A37BBB" w:rsidP="00A37BBB">
      <w:pPr>
        <w:keepNext/>
        <w:rPr>
          <w:b/>
          <w:bCs/>
        </w:rPr>
      </w:pPr>
    </w:p>
    <w:p w14:paraId="0798BF4D" w14:textId="75DDC149" w:rsidR="00775A9D" w:rsidRDefault="0008130C" w:rsidP="00A37BBB">
      <w:r w:rsidRPr="007F75F6">
        <w:rPr>
          <w:b/>
          <w:lang w:val="en-GB"/>
        </w:rPr>
        <w:t>Exemption 1</w:t>
      </w:r>
      <w:r w:rsidRPr="007F75F6">
        <w:rPr>
          <w:lang w:val="en-GB"/>
        </w:rPr>
        <w:t xml:space="preserve">: After they have been commissioned, newly built data </w:t>
      </w:r>
      <w:proofErr w:type="spellStart"/>
      <w:r w:rsidRPr="007F75F6">
        <w:rPr>
          <w:lang w:val="en-GB"/>
        </w:rPr>
        <w:t>centers</w:t>
      </w:r>
      <w:proofErr w:type="spellEnd"/>
      <w:r w:rsidRPr="007F75F6">
        <w:rPr>
          <w:lang w:val="en-GB"/>
        </w:rPr>
        <w:t xml:space="preserve"> are often not yet working at full capacity. Therefore, the alternative minimum requirements for the energy efficiency of the cooling system (CER) stated in Table 4 are valid for the first two years after the commissioning of the data </w:t>
      </w:r>
      <w:proofErr w:type="spellStart"/>
      <w:r w:rsidRPr="007F75F6">
        <w:rPr>
          <w:lang w:val="en-GB"/>
        </w:rPr>
        <w:t>center</w:t>
      </w:r>
      <w:proofErr w:type="spellEnd"/>
      <w:r w:rsidRPr="007F75F6">
        <w:rPr>
          <w:lang w:val="en-GB"/>
        </w:rPr>
        <w:t>. These exemptions are valid in each case for the reporting period for the Energy Efficiency Report. These exemptions can only be utilised at the time of application or during the period of use of the environmental label if the start of the reporting period for the Energy Efficiency Report is no longer than 2 years ago.</w:t>
      </w:r>
    </w:p>
    <w:p w14:paraId="09EFA639" w14:textId="77777777" w:rsidR="00924621" w:rsidRDefault="00924621" w:rsidP="00A37BBB"/>
    <w:p w14:paraId="49C8837E" w14:textId="00B51734" w:rsidR="00F90ED5" w:rsidRDefault="00D9135E" w:rsidP="00D768C1">
      <w:pPr>
        <w:rPr>
          <w:rFonts w:eastAsia="Cambria"/>
          <w:lang w:eastAsia="en-US"/>
        </w:rPr>
      </w:pPr>
      <w:bookmarkStart w:id="124" w:name="_Ref113301973"/>
      <w:bookmarkStart w:id="125" w:name="_Toc115941664"/>
      <w:r w:rsidRPr="007F75F6">
        <w:rPr>
          <w:lang w:val="en-GB"/>
        </w:rPr>
        <w:t>Table 4</w:t>
      </w:r>
      <w:bookmarkEnd w:id="124"/>
      <w:r w:rsidRPr="007F75F6">
        <w:rPr>
          <w:lang w:val="en-GB"/>
        </w:rPr>
        <w:t xml:space="preserve">: CER exemption for newly commissioned data </w:t>
      </w:r>
      <w:proofErr w:type="spellStart"/>
      <w:r w:rsidRPr="007F75F6">
        <w:rPr>
          <w:lang w:val="en-GB"/>
        </w:rPr>
        <w:t>centers</w:t>
      </w:r>
      <w:bookmarkEnd w:id="125"/>
      <w:proofErr w:type="spellEnd"/>
    </w:p>
    <w:tbl>
      <w:tblPr>
        <w:tblStyle w:val="TabellefrVergabegrundlageKopfzeilegrau"/>
        <w:tblW w:w="8290" w:type="dxa"/>
        <w:tblLook w:val="04A0" w:firstRow="1" w:lastRow="0" w:firstColumn="1" w:lastColumn="0" w:noHBand="0" w:noVBand="1"/>
      </w:tblPr>
      <w:tblGrid>
        <w:gridCol w:w="6295"/>
        <w:gridCol w:w="1995"/>
      </w:tblGrid>
      <w:tr w:rsidR="00D9135E" w14:paraId="34C5590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6295" w:type="dxa"/>
          </w:tcPr>
          <w:p w14:paraId="2C6947C0" w14:textId="464128DD" w:rsidR="00D9135E" w:rsidRPr="00C31B97" w:rsidRDefault="00D9135E" w:rsidP="00D9135E">
            <w:pPr>
              <w:pStyle w:val="Tabellentextfettlinksbndig"/>
            </w:pPr>
            <w:r w:rsidRPr="007F75F6">
              <w:rPr>
                <w:lang w:val="en-GB"/>
              </w:rPr>
              <w:t xml:space="preserve">Commissioning of the colocation data </w:t>
            </w:r>
            <w:proofErr w:type="spellStart"/>
            <w:r w:rsidRPr="007F75F6">
              <w:rPr>
                <w:lang w:val="en-GB"/>
              </w:rPr>
              <w:t>centers</w:t>
            </w:r>
            <w:proofErr w:type="spellEnd"/>
          </w:p>
        </w:tc>
        <w:tc>
          <w:tcPr>
            <w:tcW w:w="1995" w:type="dxa"/>
          </w:tcPr>
          <w:p w14:paraId="5DF25575" w14:textId="6808EB85" w:rsidR="00D9135E" w:rsidRPr="00C31B97" w:rsidRDefault="00D9135E" w:rsidP="00D9135E">
            <w:pPr>
              <w:pStyle w:val="Tabellentextfettlinksbndig"/>
            </w:pPr>
            <w:r w:rsidRPr="007F75F6">
              <w:rPr>
                <w:lang w:val="en-GB"/>
              </w:rPr>
              <w:t>CER</w:t>
            </w:r>
          </w:p>
        </w:tc>
      </w:tr>
      <w:tr w:rsidR="00D9135E" w14:paraId="5552D6EB" w14:textId="77777777" w:rsidTr="00924621">
        <w:trPr>
          <w:trHeight w:val="286"/>
        </w:trPr>
        <w:tc>
          <w:tcPr>
            <w:tcW w:w="6295" w:type="dxa"/>
          </w:tcPr>
          <w:p w14:paraId="11F41345" w14:textId="71CB45EB" w:rsidR="00D9135E" w:rsidRPr="00C31B97" w:rsidRDefault="00D9135E" w:rsidP="00D9135E">
            <w:pPr>
              <w:pStyle w:val="Tabellentextstandardlinksbndig"/>
            </w:pPr>
            <w:r w:rsidRPr="007F75F6">
              <w:rPr>
                <w:lang w:val="en-GB"/>
              </w:rPr>
              <w:t>Less than 1 year ago (commissioning date &lt; 1 year)</w:t>
            </w:r>
          </w:p>
        </w:tc>
        <w:tc>
          <w:tcPr>
            <w:tcW w:w="1995" w:type="dxa"/>
          </w:tcPr>
          <w:p w14:paraId="5B93EF5E" w14:textId="07CE5300" w:rsidR="00D9135E" w:rsidRPr="00C31B97" w:rsidRDefault="00D9135E" w:rsidP="00D9135E">
            <w:pPr>
              <w:pStyle w:val="Tabellentextstandardlinksbndig"/>
            </w:pPr>
            <w:r w:rsidRPr="007F75F6">
              <w:rPr>
                <w:lang w:val="en-GB"/>
              </w:rPr>
              <w:t>CER &gt; 5</w:t>
            </w:r>
          </w:p>
        </w:tc>
      </w:tr>
      <w:tr w:rsidR="00D9135E" w14:paraId="28F3087B" w14:textId="77777777" w:rsidTr="00924621">
        <w:trPr>
          <w:trHeight w:val="279"/>
        </w:trPr>
        <w:tc>
          <w:tcPr>
            <w:tcW w:w="6295" w:type="dxa"/>
          </w:tcPr>
          <w:p w14:paraId="660BD32E" w14:textId="328BAC62" w:rsidR="00D9135E" w:rsidRDefault="00D9135E" w:rsidP="00D9135E">
            <w:pPr>
              <w:pStyle w:val="Tabellentextstandardlinksbndig"/>
            </w:pPr>
            <w:r w:rsidRPr="007F75F6">
              <w:rPr>
                <w:lang w:val="en-GB"/>
              </w:rPr>
              <w:t>Less than 2 years ago (1 year ≤ commissioning date &lt; 2 years)</w:t>
            </w:r>
          </w:p>
        </w:tc>
        <w:tc>
          <w:tcPr>
            <w:tcW w:w="1995" w:type="dxa"/>
          </w:tcPr>
          <w:p w14:paraId="6EB1756F" w14:textId="2823DF60" w:rsidR="00D9135E" w:rsidRDefault="00D9135E" w:rsidP="00D9135E">
            <w:pPr>
              <w:pStyle w:val="Tabellentextstandardlinksbndig"/>
            </w:pPr>
            <w:r w:rsidRPr="007F75F6">
              <w:rPr>
                <w:lang w:val="en-GB"/>
              </w:rPr>
              <w:t>CER &gt; 6.5</w:t>
            </w:r>
          </w:p>
        </w:tc>
      </w:tr>
    </w:tbl>
    <w:p w14:paraId="0E99128E" w14:textId="77777777" w:rsidR="00924621" w:rsidRDefault="00924621" w:rsidP="00D768C1">
      <w:pPr>
        <w:rPr>
          <w:rFonts w:eastAsia="Cambria"/>
          <w:lang w:eastAsia="en-US"/>
        </w:rPr>
      </w:pPr>
    </w:p>
    <w:p w14:paraId="21698A16" w14:textId="77777777" w:rsidR="00924621" w:rsidRDefault="00924621" w:rsidP="00D768C1">
      <w:pPr>
        <w:rPr>
          <w:rFonts w:eastAsia="Cambria"/>
          <w:lang w:eastAsia="en-US"/>
        </w:rPr>
      </w:pPr>
    </w:p>
    <w:p w14:paraId="68E31FD1" w14:textId="77777777" w:rsidR="00775A9D" w:rsidRDefault="00775A9D" w:rsidP="00A37BBB"/>
    <w:p w14:paraId="3CF8CFA6" w14:textId="77777777" w:rsidR="00D9135E" w:rsidRPr="007F75F6" w:rsidRDefault="00247A99" w:rsidP="00D9135E">
      <w:pPr>
        <w:rPr>
          <w:bCs/>
          <w:lang w:val="en-GB"/>
        </w:rPr>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D9135E" w:rsidRPr="007F75F6">
        <w:rPr>
          <w:lang w:val="en-GB"/>
        </w:rPr>
        <w:t xml:space="preserve">Exemption 1 has been utilised, the CER value of the data </w:t>
      </w:r>
      <w:proofErr w:type="spellStart"/>
      <w:r w:rsidR="00D9135E" w:rsidRPr="007F75F6">
        <w:rPr>
          <w:lang w:val="en-GB"/>
        </w:rPr>
        <w:t>center</w:t>
      </w:r>
      <w:proofErr w:type="spellEnd"/>
      <w:r w:rsidR="00D9135E" w:rsidRPr="007F75F6">
        <w:rPr>
          <w:lang w:val="en-GB"/>
        </w:rPr>
        <w:t xml:space="preserve"> in the period </w:t>
      </w:r>
    </w:p>
    <w:p w14:paraId="365A5280" w14:textId="3042E20E" w:rsidR="00247A99" w:rsidRPr="002943C0" w:rsidRDefault="00D9135E" w:rsidP="00D9135E">
      <w:pPr>
        <w:rPr>
          <w:bCs/>
        </w:rPr>
      </w:pPr>
      <w:r w:rsidRPr="007F75F6">
        <w:rPr>
          <w:lang w:val="en-GB"/>
        </w:rPr>
        <w:tab/>
        <w:t xml:space="preserve">from                              to                           was:                  </w:t>
      </w:r>
      <w:proofErr w:type="gramStart"/>
      <w:r w:rsidRPr="007F75F6">
        <w:rPr>
          <w:lang w:val="en-GB"/>
        </w:rPr>
        <w:t xml:space="preserve">   (</w:t>
      </w:r>
      <w:proofErr w:type="gramEnd"/>
      <w:r w:rsidRPr="007F75F6">
        <w:rPr>
          <w:lang w:val="en-GB"/>
        </w:rPr>
        <w:t>state the PUE value)</w:t>
      </w:r>
    </w:p>
    <w:p w14:paraId="421BBE8F" w14:textId="77777777" w:rsidR="00247A99" w:rsidRDefault="00247A99" w:rsidP="00247A99">
      <w:pPr>
        <w:spacing w:line="360" w:lineRule="auto"/>
        <w:jc w:val="left"/>
      </w:pPr>
    </w:p>
    <w:p w14:paraId="3D6A476B" w14:textId="494D9562" w:rsidR="006210B4" w:rsidRDefault="00247A99" w:rsidP="00247A99">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D9135E" w:rsidRPr="007F75F6">
        <w:rPr>
          <w:lang w:val="en-GB"/>
        </w:rPr>
        <w:t xml:space="preserve">The calculation for the CER is presented in Annex 3.9. </w:t>
      </w:r>
      <w:r w:rsidR="006210B4">
        <w:t xml:space="preserve"> </w:t>
      </w:r>
    </w:p>
    <w:p w14:paraId="3142BB0C" w14:textId="0EAE1635" w:rsidR="00247A99" w:rsidRPr="00E80289" w:rsidRDefault="00D9135E" w:rsidP="00247A99">
      <w:r w:rsidRPr="007F75F6">
        <w:rPr>
          <w:lang w:val="en-GB"/>
        </w:rPr>
        <w:t>Alternatively:</w:t>
      </w:r>
    </w:p>
    <w:p w14:paraId="680E99C4" w14:textId="11F7FD38" w:rsidR="00247A99" w:rsidRPr="004747C1" w:rsidRDefault="006210B4" w:rsidP="00247A99">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D9135E" w:rsidRPr="007F75F6">
        <w:rPr>
          <w:lang w:val="en-GB"/>
        </w:rPr>
        <w:t>The calculation for the CER is enclosed as Annex 3.9 with the file name:</w:t>
      </w:r>
    </w:p>
    <w:p w14:paraId="132DEF50" w14:textId="77777777" w:rsidR="00362341" w:rsidRDefault="00362341" w:rsidP="00A37BBB"/>
    <w:p w14:paraId="6442943F" w14:textId="77777777" w:rsidR="00362341" w:rsidRDefault="00362341" w:rsidP="00A37BBB"/>
    <w:p w14:paraId="1161E545" w14:textId="77777777" w:rsidR="00D9135E" w:rsidRPr="007F75F6" w:rsidRDefault="00D9135E" w:rsidP="00D9135E">
      <w:pPr>
        <w:rPr>
          <w:lang w:val="en-GB"/>
        </w:rPr>
      </w:pPr>
      <w:r w:rsidRPr="007F75F6">
        <w:rPr>
          <w:b/>
          <w:lang w:val="en-GB"/>
        </w:rPr>
        <w:t xml:space="preserve">Exemption 2: </w:t>
      </w:r>
      <w:r w:rsidRPr="007F75F6">
        <w:rPr>
          <w:lang w:val="en-GB"/>
        </w:rPr>
        <w:t xml:space="preserve">Data </w:t>
      </w:r>
      <w:proofErr w:type="spellStart"/>
      <w:r w:rsidRPr="007F75F6">
        <w:rPr>
          <w:lang w:val="en-GB"/>
        </w:rPr>
        <w:t>centers</w:t>
      </w:r>
      <w:proofErr w:type="spellEnd"/>
      <w:r w:rsidRPr="007F75F6">
        <w:rPr>
          <w:lang w:val="en-GB"/>
        </w:rPr>
        <w:t xml:space="preserve"> that were commissioned less than 15 months ago at the time of the application are exempt from the requirement that the CER value must be calculated </w:t>
      </w:r>
      <w:r w:rsidRPr="007F75F6">
        <w:rPr>
          <w:lang w:val="en-GB"/>
        </w:rPr>
        <w:lastRenderedPageBreak/>
        <w:t xml:space="preserve">over a measurement period of twelve months. These new data </w:t>
      </w:r>
      <w:proofErr w:type="spellStart"/>
      <w:r w:rsidRPr="007F75F6">
        <w:rPr>
          <w:lang w:val="en-GB"/>
        </w:rPr>
        <w:t>centers</w:t>
      </w:r>
      <w:proofErr w:type="spellEnd"/>
      <w:r w:rsidRPr="007F75F6">
        <w:rPr>
          <w:lang w:val="en-GB"/>
        </w:rPr>
        <w:t xml:space="preserve"> must calculate the expected CER value 12 months after they have been commissioned for the application as follows:</w:t>
      </w:r>
    </w:p>
    <w:p w14:paraId="73A54A00" w14:textId="77777777" w:rsidR="00D9135E" w:rsidRPr="007F75F6" w:rsidRDefault="00D9135E" w:rsidP="00D9135E">
      <w:pPr>
        <w:rPr>
          <w:lang w:val="en-GB"/>
        </w:rPr>
      </w:pPr>
      <w:r w:rsidRPr="007F75F6">
        <w:rPr>
          <w:lang w:val="en-GB"/>
        </w:rPr>
        <w:t xml:space="preserve">Either using planning data produced by a qualified specialist planner in accordance with DIN EN 50600, in which the calculation of the CER value reflects the expected status of the data </w:t>
      </w:r>
      <w:proofErr w:type="spellStart"/>
      <w:r w:rsidRPr="007F75F6">
        <w:rPr>
          <w:lang w:val="en-GB"/>
        </w:rPr>
        <w:t>center</w:t>
      </w:r>
      <w:proofErr w:type="spellEnd"/>
      <w:r w:rsidRPr="007F75F6">
        <w:rPr>
          <w:lang w:val="en-GB"/>
        </w:rPr>
        <w:t xml:space="preserve"> 12 months after it has been commissioned. </w:t>
      </w:r>
    </w:p>
    <w:p w14:paraId="2714DC36" w14:textId="77777777" w:rsidR="00D9135E" w:rsidRPr="007F75F6" w:rsidRDefault="00D9135E" w:rsidP="00D9135E">
      <w:pPr>
        <w:rPr>
          <w:lang w:val="en-GB"/>
        </w:rPr>
      </w:pPr>
      <w:r w:rsidRPr="007F75F6">
        <w:rPr>
          <w:lang w:val="en-GB"/>
        </w:rPr>
        <w:t xml:space="preserve">Or on the basis of a load test, where the expected status of the data </w:t>
      </w:r>
      <w:proofErr w:type="spellStart"/>
      <w:r w:rsidRPr="007F75F6">
        <w:rPr>
          <w:lang w:val="en-GB"/>
        </w:rPr>
        <w:t>center</w:t>
      </w:r>
      <w:proofErr w:type="spellEnd"/>
      <w:r w:rsidRPr="007F75F6">
        <w:rPr>
          <w:lang w:val="en-GB"/>
        </w:rPr>
        <w:t xml:space="preserve"> after 12 months is simulated using load banks and this information is used to calculate the annual cooling load for the cooling system and the total electrical energy input into the entire cooling system.</w:t>
      </w:r>
    </w:p>
    <w:p w14:paraId="29E9D3A6" w14:textId="6650C0FB" w:rsidR="00A37BBB" w:rsidRDefault="00D9135E" w:rsidP="00D9135E">
      <w:r w:rsidRPr="007F75F6">
        <w:rPr>
          <w:lang w:val="en-GB"/>
        </w:rPr>
        <w:t>The measurement results must verify compliance with the minimum requirements in Table 4 at the latest 15 months after the commissioning date.</w:t>
      </w:r>
    </w:p>
    <w:p w14:paraId="0A695BE7" w14:textId="77777777" w:rsidR="00255E74" w:rsidRDefault="00255E74" w:rsidP="00637932"/>
    <w:p w14:paraId="06F7632B" w14:textId="77777777" w:rsidR="0078583F" w:rsidRDefault="0078583F" w:rsidP="00637932"/>
    <w:p w14:paraId="5BA42F94" w14:textId="0088A7D6" w:rsidR="00F83CAD" w:rsidRDefault="00F83CA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EC3BD3" w:rsidRPr="007F75F6">
        <w:rPr>
          <w:lang w:val="en-GB"/>
        </w:rPr>
        <w:t>The exemption has been utilised, the calculated CER value (</w:t>
      </w:r>
      <w:proofErr w:type="spellStart"/>
      <w:r w:rsidR="00EC3BD3" w:rsidRPr="007F75F6">
        <w:rPr>
          <w:lang w:val="en-GB"/>
        </w:rPr>
        <w:t>dCER</w:t>
      </w:r>
      <w:proofErr w:type="spellEnd"/>
      <w:r w:rsidR="00EC3BD3" w:rsidRPr="007F75F6">
        <w:rPr>
          <w:lang w:val="en-GB"/>
        </w:rPr>
        <w:t xml:space="preserve">) for the data </w:t>
      </w:r>
      <w:proofErr w:type="spellStart"/>
      <w:r w:rsidR="00EC3BD3" w:rsidRPr="007F75F6">
        <w:rPr>
          <w:lang w:val="en-GB"/>
        </w:rPr>
        <w:t>center</w:t>
      </w:r>
      <w:proofErr w:type="spellEnd"/>
      <w:r w:rsidR="00EC3BD3" w:rsidRPr="007F75F6">
        <w:rPr>
          <w:lang w:val="en-GB"/>
        </w:rPr>
        <w:t xml:space="preserve"> is:</w:t>
      </w:r>
      <w:r w:rsidR="00EC3BD3" w:rsidRPr="007F75F6">
        <w:rPr>
          <w:lang w:val="en-GB"/>
        </w:rPr>
        <w:tab/>
      </w:r>
      <w:r w:rsidR="00EC3BD3" w:rsidRPr="007F75F6">
        <w:rPr>
          <w:lang w:val="en-GB"/>
        </w:rPr>
        <w:tab/>
        <w:t xml:space="preserve">         </w:t>
      </w:r>
      <w:proofErr w:type="gramStart"/>
      <w:r w:rsidR="00EC3BD3" w:rsidRPr="007F75F6">
        <w:rPr>
          <w:lang w:val="en-GB"/>
        </w:rPr>
        <w:t xml:space="preserve">   (</w:t>
      </w:r>
      <w:proofErr w:type="gramEnd"/>
      <w:r w:rsidR="00EC3BD3" w:rsidRPr="007F75F6">
        <w:rPr>
          <w:lang w:val="en-GB"/>
        </w:rPr>
        <w:t xml:space="preserve">state the </w:t>
      </w:r>
      <w:proofErr w:type="spellStart"/>
      <w:r w:rsidR="00EC3BD3" w:rsidRPr="007F75F6">
        <w:rPr>
          <w:lang w:val="en-GB"/>
        </w:rPr>
        <w:t>dCER</w:t>
      </w:r>
      <w:proofErr w:type="spellEnd"/>
      <w:r w:rsidR="00EC3BD3" w:rsidRPr="007F75F6">
        <w:rPr>
          <w:lang w:val="en-GB"/>
        </w:rPr>
        <w:t xml:space="preserve"> value)</w:t>
      </w:r>
    </w:p>
    <w:p w14:paraId="44C21B21" w14:textId="77777777" w:rsidR="00C25A58" w:rsidRDefault="00C25A58" w:rsidP="00637932"/>
    <w:p w14:paraId="65979D13" w14:textId="469E086B" w:rsidR="00F83CAD" w:rsidRDefault="00EC3BD3" w:rsidP="00637932">
      <w:r w:rsidRPr="007F75F6">
        <w:rPr>
          <w:lang w:val="en-GB"/>
        </w:rPr>
        <w:t>The calculation is enclosed as Annex 3.9 with the file name:</w:t>
      </w:r>
    </w:p>
    <w:p w14:paraId="0471C4D0" w14:textId="77777777" w:rsidR="00F83CAD" w:rsidRDefault="00F83CAD" w:rsidP="00637932"/>
    <w:p w14:paraId="1B980A0D" w14:textId="77777777" w:rsidR="009C56AB" w:rsidRDefault="009C56AB" w:rsidP="00F83CAD">
      <w:pPr>
        <w:spacing w:line="240" w:lineRule="auto"/>
        <w:jc w:val="left"/>
      </w:pPr>
    </w:p>
    <w:p w14:paraId="32C647D3" w14:textId="56FA571B" w:rsidR="00975934" w:rsidRDefault="0090199F" w:rsidP="008964C3">
      <w:pPr>
        <w:pStyle w:val="b3"/>
      </w:pPr>
      <w:bookmarkStart w:id="126" w:name="_Ref100834761"/>
      <w:bookmarkStart w:id="127" w:name="_Toc109635692"/>
      <w:bookmarkStart w:id="128" w:name="_Toc129875206"/>
      <w:r w:rsidRPr="007F75F6">
        <w:rPr>
          <w:lang w:val="en-GB"/>
        </w:rPr>
        <w:t>Refrigerant</w:t>
      </w:r>
      <w:bookmarkEnd w:id="126"/>
      <w:bookmarkEnd w:id="127"/>
      <w:bookmarkEnd w:id="128"/>
    </w:p>
    <w:p w14:paraId="7BBE3ED8" w14:textId="0DBA928D" w:rsidR="00975934" w:rsidRDefault="001A6106" w:rsidP="00637932">
      <w:r w:rsidRPr="007F75F6">
        <w:rPr>
          <w:lang w:val="en-GB"/>
        </w:rPr>
        <w:t>In those cooling systems, heat pumps and dehumidifiers that were placed into operation after the 1 January 2013, only halogen-free refrigerants may be used. An exemption applies to systems with a maximum cooling performance of less than 10 kW.</w:t>
      </w:r>
    </w:p>
    <w:p w14:paraId="4C7DD277" w14:textId="77777777" w:rsidR="00975934" w:rsidRDefault="00975934" w:rsidP="00637932"/>
    <w:p w14:paraId="11FFEB96" w14:textId="3AD21011" w:rsidR="00745942" w:rsidRDefault="00F308A8" w:rsidP="00637932">
      <w:r w:rsidRPr="007F75F6">
        <w:rPr>
          <w:lang w:val="en-GB"/>
        </w:rPr>
        <w:t>Refrigerant used:</w:t>
      </w:r>
      <w:r w:rsidRPr="007F75F6">
        <w:rPr>
          <w:lang w:val="en-GB"/>
        </w:rPr>
        <w:tab/>
      </w:r>
      <w:r w:rsidRPr="007F75F6">
        <w:rPr>
          <w:lang w:val="en-GB"/>
        </w:rPr>
        <w:tab/>
      </w:r>
      <w:r w:rsidRPr="007F75F6">
        <w:rPr>
          <w:lang w:val="en-GB"/>
        </w:rPr>
        <w:tab/>
      </w:r>
      <w:r w:rsidRPr="007F75F6">
        <w:rPr>
          <w:lang w:val="en-GB"/>
        </w:rPr>
        <w:tab/>
        <w:t>(state the refrigerant)</w:t>
      </w:r>
    </w:p>
    <w:p w14:paraId="21FD907E" w14:textId="30833020" w:rsidR="00CD2163" w:rsidRDefault="00F308A8" w:rsidP="00637932">
      <w:r w:rsidRPr="007F75F6">
        <w:rPr>
          <w:lang w:val="en-GB"/>
        </w:rPr>
        <w:t>Alternatively:</w:t>
      </w:r>
    </w:p>
    <w:p w14:paraId="179CF1B1" w14:textId="75CBEECD" w:rsidR="00992E83" w:rsidRDefault="00992E83"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F308A8" w:rsidRPr="007F75F6">
        <w:rPr>
          <w:lang w:val="en-GB"/>
        </w:rPr>
        <w:t xml:space="preserve">No mechanical cooling is used in the data </w:t>
      </w:r>
      <w:proofErr w:type="spellStart"/>
      <w:r w:rsidR="00F308A8" w:rsidRPr="007F75F6">
        <w:rPr>
          <w:lang w:val="en-GB"/>
        </w:rPr>
        <w:t>center</w:t>
      </w:r>
      <w:proofErr w:type="spellEnd"/>
      <w:r w:rsidR="00F308A8" w:rsidRPr="007F75F6">
        <w:rPr>
          <w:lang w:val="en-GB"/>
        </w:rPr>
        <w:t>.</w:t>
      </w:r>
    </w:p>
    <w:p w14:paraId="7AF0C473" w14:textId="77777777" w:rsidR="00992E83" w:rsidRPr="0003552C" w:rsidRDefault="00992E83" w:rsidP="00745942"/>
    <w:p w14:paraId="01AD75FA" w14:textId="77777777" w:rsidR="009C56AB" w:rsidRDefault="009C56AB" w:rsidP="00F83CAD">
      <w:pPr>
        <w:spacing w:line="240" w:lineRule="auto"/>
        <w:jc w:val="left"/>
      </w:pPr>
    </w:p>
    <w:p w14:paraId="7693B795" w14:textId="3626FE2C" w:rsidR="00314F8B" w:rsidRDefault="00F308A8" w:rsidP="008964C3">
      <w:pPr>
        <w:pStyle w:val="b3"/>
      </w:pPr>
      <w:bookmarkStart w:id="129" w:name="_Ref100834768"/>
      <w:bookmarkStart w:id="130" w:name="_Toc109635693"/>
      <w:bookmarkStart w:id="131" w:name="_Toc129875207"/>
      <w:r w:rsidRPr="007F75F6">
        <w:rPr>
          <w:lang w:val="en-GB"/>
        </w:rPr>
        <w:t>Use of waste heat</w:t>
      </w:r>
      <w:bookmarkEnd w:id="129"/>
      <w:bookmarkEnd w:id="130"/>
      <w:bookmarkEnd w:id="131"/>
    </w:p>
    <w:p w14:paraId="6BFA92A9" w14:textId="77777777" w:rsidR="00F308A8" w:rsidRPr="007F75F6" w:rsidRDefault="00F308A8" w:rsidP="00F308A8">
      <w:pPr>
        <w:rPr>
          <w:lang w:val="en-GB"/>
        </w:rPr>
      </w:pPr>
      <w:r w:rsidRPr="007F75F6">
        <w:rPr>
          <w:lang w:val="en-GB"/>
        </w:rPr>
        <w:t xml:space="preserve">The waste heat from data </w:t>
      </w:r>
      <w:proofErr w:type="spellStart"/>
      <w:r w:rsidRPr="007F75F6">
        <w:rPr>
          <w:lang w:val="en-GB"/>
        </w:rPr>
        <w:t>centers</w:t>
      </w:r>
      <w:proofErr w:type="spellEnd"/>
      <w:r w:rsidRPr="007F75F6">
        <w:rPr>
          <w:lang w:val="en-GB"/>
        </w:rPr>
        <w:t xml:space="preserve"> can make an important contribution to switching over the heating supply system from fossil fuels to highly efficient heat pump systems. </w:t>
      </w:r>
    </w:p>
    <w:p w14:paraId="06D9495F" w14:textId="77777777" w:rsidR="00F308A8" w:rsidRPr="007F75F6" w:rsidRDefault="00F308A8" w:rsidP="00F308A8">
      <w:pPr>
        <w:rPr>
          <w:lang w:val="en-GB"/>
        </w:rPr>
      </w:pPr>
      <w:r w:rsidRPr="007F75F6">
        <w:rPr>
          <w:lang w:val="en-GB"/>
        </w:rPr>
        <w:t xml:space="preserve">Data </w:t>
      </w:r>
      <w:proofErr w:type="spellStart"/>
      <w:r w:rsidRPr="007F75F6">
        <w:rPr>
          <w:lang w:val="en-GB"/>
        </w:rPr>
        <w:t>centers</w:t>
      </w:r>
      <w:proofErr w:type="spellEnd"/>
      <w:r w:rsidRPr="007F75F6">
        <w:rPr>
          <w:lang w:val="en-GB"/>
        </w:rPr>
        <w:t xml:space="preserve"> placed into operation after 1 January 2023 must comply with the following criteria: </w:t>
      </w:r>
    </w:p>
    <w:p w14:paraId="58E06B3F" w14:textId="77777777" w:rsidR="00F308A8" w:rsidRPr="007F75F6" w:rsidRDefault="00F308A8" w:rsidP="00F308A8">
      <w:pPr>
        <w:rPr>
          <w:lang w:val="en-GB"/>
        </w:rPr>
      </w:pPr>
      <w:r w:rsidRPr="007F75F6">
        <w:rPr>
          <w:lang w:val="en-GB"/>
        </w:rPr>
        <w:t xml:space="preserve">Part of the waste heat from the data </w:t>
      </w:r>
      <w:proofErr w:type="spellStart"/>
      <w:r w:rsidRPr="007F75F6">
        <w:rPr>
          <w:lang w:val="en-GB"/>
        </w:rPr>
        <w:t>center</w:t>
      </w:r>
      <w:proofErr w:type="spellEnd"/>
      <w:r w:rsidRPr="007F75F6">
        <w:rPr>
          <w:lang w:val="en-GB"/>
        </w:rPr>
        <w:t xml:space="preserve"> must be utilised by the data </w:t>
      </w:r>
      <w:proofErr w:type="spellStart"/>
      <w:r w:rsidRPr="007F75F6">
        <w:rPr>
          <w:lang w:val="en-GB"/>
        </w:rPr>
        <w:t>center</w:t>
      </w:r>
      <w:proofErr w:type="spellEnd"/>
      <w:r w:rsidRPr="007F75F6">
        <w:rPr>
          <w:lang w:val="en-GB"/>
        </w:rPr>
        <w:t xml:space="preserve"> operator in their own buildings or facilities or by external heat consumers (ERF &gt; 0).</w:t>
      </w:r>
    </w:p>
    <w:p w14:paraId="347F3065" w14:textId="77777777" w:rsidR="00F308A8" w:rsidRPr="007F75F6" w:rsidRDefault="00F308A8" w:rsidP="00F308A8">
      <w:pPr>
        <w:rPr>
          <w:lang w:val="en-GB"/>
        </w:rPr>
      </w:pPr>
      <w:r w:rsidRPr="007F75F6">
        <w:rPr>
          <w:lang w:val="en-GB"/>
        </w:rPr>
        <w:t xml:space="preserve">Data </w:t>
      </w:r>
      <w:proofErr w:type="spellStart"/>
      <w:r w:rsidRPr="007F75F6">
        <w:rPr>
          <w:lang w:val="en-GB"/>
        </w:rPr>
        <w:t>centers</w:t>
      </w:r>
      <w:proofErr w:type="spellEnd"/>
      <w:r w:rsidRPr="007F75F6">
        <w:rPr>
          <w:lang w:val="en-GB"/>
        </w:rPr>
        <w:t xml:space="preserve"> with a connected electrical rating of 100 kW or higher must be suitably equipped for the utilisation of the waste heat outside of the data </w:t>
      </w:r>
      <w:proofErr w:type="spellStart"/>
      <w:r w:rsidRPr="007F75F6">
        <w:rPr>
          <w:lang w:val="en-GB"/>
        </w:rPr>
        <w:t>center</w:t>
      </w:r>
      <w:proofErr w:type="spellEnd"/>
      <w:r w:rsidRPr="007F75F6">
        <w:rPr>
          <w:lang w:val="en-GB"/>
        </w:rPr>
        <w:t>. Connections must be installed for this purpose.</w:t>
      </w:r>
    </w:p>
    <w:p w14:paraId="0E706ABC" w14:textId="77777777" w:rsidR="00F308A8" w:rsidRPr="007F75F6" w:rsidRDefault="00F308A8" w:rsidP="00F308A8">
      <w:pPr>
        <w:rPr>
          <w:lang w:val="en-GB"/>
        </w:rPr>
      </w:pPr>
      <w:r w:rsidRPr="007F75F6">
        <w:rPr>
          <w:lang w:val="en-GB"/>
        </w:rPr>
        <w:t xml:space="preserve">If the data </w:t>
      </w:r>
      <w:proofErr w:type="spellStart"/>
      <w:r w:rsidRPr="007F75F6">
        <w:rPr>
          <w:lang w:val="en-GB"/>
        </w:rPr>
        <w:t>center</w:t>
      </w:r>
      <w:proofErr w:type="spellEnd"/>
      <w:r w:rsidRPr="007F75F6">
        <w:rPr>
          <w:lang w:val="en-GB"/>
        </w:rPr>
        <w:t xml:space="preserve"> operator is not able to utilise all of the waste heat in their own buildings or facilities or has not already agreed supply contracts for the total volume of waste heat, data </w:t>
      </w:r>
      <w:proofErr w:type="spellStart"/>
      <w:r w:rsidRPr="007F75F6">
        <w:rPr>
          <w:lang w:val="en-GB"/>
        </w:rPr>
        <w:t>centers</w:t>
      </w:r>
      <w:proofErr w:type="spellEnd"/>
      <w:r w:rsidRPr="007F75F6">
        <w:rPr>
          <w:lang w:val="en-GB"/>
        </w:rPr>
        <w:t xml:space="preserve"> with a connected electrical rating of 100 kW or higher must publish information on the temperature level and the amount of heat that they can supply. The data </w:t>
      </w:r>
      <w:proofErr w:type="spellStart"/>
      <w:r w:rsidRPr="007F75F6">
        <w:rPr>
          <w:lang w:val="en-GB"/>
        </w:rPr>
        <w:lastRenderedPageBreak/>
        <w:t>center</w:t>
      </w:r>
      <w:proofErr w:type="spellEnd"/>
      <w:r w:rsidRPr="007F75F6">
        <w:rPr>
          <w:lang w:val="en-GB"/>
        </w:rPr>
        <w:t xml:space="preserve"> operator must give potential heat consumers the opportunity to conclude a supply contract on request.</w:t>
      </w:r>
    </w:p>
    <w:p w14:paraId="1CB6B9CD" w14:textId="09BB7230" w:rsidR="00314F8B" w:rsidRPr="00231A20" w:rsidRDefault="00F308A8" w:rsidP="00F308A8">
      <w:r w:rsidRPr="007F75F6">
        <w:rPr>
          <w:lang w:val="en-GB"/>
        </w:rPr>
        <w:t>The key performance indicator for the proportion of reused energy (Energy Reuse Factor – ERF, according to the DIN EN 50600-4-6 standard) must be published at least once a year.</w:t>
      </w:r>
    </w:p>
    <w:p w14:paraId="2902B4F5" w14:textId="77777777" w:rsidR="00F83CAD" w:rsidRDefault="00F83CAD" w:rsidP="00F83CAD"/>
    <w:p w14:paraId="67E4D96B" w14:textId="18A96060" w:rsidR="00F7245D" w:rsidRDefault="00F7245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F308A8" w:rsidRPr="007F75F6">
        <w:rPr>
          <w:lang w:val="en-GB"/>
        </w:rPr>
        <w:t xml:space="preserve">The data </w:t>
      </w:r>
      <w:proofErr w:type="spellStart"/>
      <w:r w:rsidR="00F308A8" w:rsidRPr="007F75F6">
        <w:rPr>
          <w:lang w:val="en-GB"/>
        </w:rPr>
        <w:t>center</w:t>
      </w:r>
      <w:proofErr w:type="spellEnd"/>
      <w:r w:rsidR="00F308A8" w:rsidRPr="007F75F6">
        <w:rPr>
          <w:lang w:val="en-GB"/>
        </w:rPr>
        <w:t xml:space="preserve"> was placed into operation before 1 January 2023</w:t>
      </w:r>
    </w:p>
    <w:p w14:paraId="5175C379" w14:textId="77777777" w:rsidR="0078583F" w:rsidRDefault="0078583F" w:rsidP="00637932"/>
    <w:p w14:paraId="2DD8DE7C" w14:textId="77777777" w:rsidR="00C740BB" w:rsidRDefault="00C740BB" w:rsidP="00637932"/>
    <w:p w14:paraId="73DC199B" w14:textId="3CE476F9" w:rsidR="00F7245D" w:rsidRDefault="00F308A8" w:rsidP="00637932">
      <w:r w:rsidRPr="007F75F6">
        <w:rPr>
          <w:lang w:val="en-GB"/>
        </w:rPr>
        <w:t>Alternatively:</w:t>
      </w:r>
    </w:p>
    <w:p w14:paraId="5DCF31FD" w14:textId="0594C043" w:rsidR="00C740BB" w:rsidRDefault="00F308A8" w:rsidP="00637932">
      <w:r w:rsidRPr="007F75F6">
        <w:rPr>
          <w:lang w:val="en-GB"/>
        </w:rPr>
        <w:t>The description of the waste heat utilisation and the calculation for the ERF is enclosed as Annex 3.10 with the file name:</w:t>
      </w:r>
    </w:p>
    <w:p w14:paraId="70BD994A" w14:textId="77777777" w:rsidR="00C740BB" w:rsidRDefault="00C740BB" w:rsidP="00637932"/>
    <w:p w14:paraId="34AE98AE" w14:textId="77777777" w:rsidR="00C740BB" w:rsidRDefault="00C740BB" w:rsidP="00637932"/>
    <w:p w14:paraId="29241B29" w14:textId="20D53702" w:rsidR="00B5273A" w:rsidRPr="004747C1" w:rsidRDefault="00F308A8" w:rsidP="008964C3">
      <w:pPr>
        <w:pStyle w:val="b3"/>
      </w:pPr>
      <w:bookmarkStart w:id="132" w:name="_Toc97737865"/>
      <w:bookmarkStart w:id="133" w:name="_Ref100833829"/>
      <w:bookmarkStart w:id="134" w:name="_Ref100834780"/>
      <w:bookmarkStart w:id="135" w:name="_Ref107830193"/>
      <w:bookmarkStart w:id="136" w:name="_Toc109635691"/>
      <w:bookmarkStart w:id="137" w:name="_Ref112320124"/>
      <w:bookmarkStart w:id="138" w:name="_Toc129875208"/>
      <w:r w:rsidRPr="007F75F6">
        <w:rPr>
          <w:lang w:val="en-GB"/>
        </w:rPr>
        <w:t>Electrical switching systems</w:t>
      </w:r>
      <w:bookmarkEnd w:id="132"/>
      <w:bookmarkEnd w:id="133"/>
      <w:bookmarkEnd w:id="134"/>
      <w:bookmarkEnd w:id="135"/>
      <w:bookmarkEnd w:id="136"/>
      <w:bookmarkEnd w:id="137"/>
      <w:bookmarkEnd w:id="138"/>
    </w:p>
    <w:p w14:paraId="6932C677" w14:textId="77777777" w:rsidR="00B5273A" w:rsidRPr="00637932" w:rsidRDefault="00F9342A" w:rsidP="00637932">
      <w:r w:rsidRPr="00637932">
        <w:t>Elektrische Schaltanlagen</w:t>
      </w:r>
      <w:r w:rsidR="0066451C" w:rsidRPr="00637932">
        <w:t>, die im Verantwortungsbereich des RZ-Betreibers betrieben werden</w:t>
      </w:r>
      <w:r w:rsidRPr="00637932">
        <w:t>, die nach dem 1.1.2023 installiert wurden, dürfen nicht das stark treibhauswirksame Gas Schwefelhexafluorid (SF</w:t>
      </w:r>
      <w:r w:rsidRPr="00637932">
        <w:rPr>
          <w:vertAlign w:val="subscript"/>
        </w:rPr>
        <w:t>6</w:t>
      </w:r>
      <w:r w:rsidRPr="00637932">
        <w:t>) als Isoliermedium enthalten.</w:t>
      </w:r>
    </w:p>
    <w:p w14:paraId="5BF4A383" w14:textId="77777777" w:rsidR="00B5273A" w:rsidRPr="00637932" w:rsidRDefault="00B5273A" w:rsidP="00637932"/>
    <w:p w14:paraId="5331C217" w14:textId="276F42B3" w:rsidR="00B5273A" w:rsidRPr="00637932" w:rsidRDefault="00B5273A" w:rsidP="00637932">
      <w:r w:rsidRPr="00637932">
        <w:fldChar w:fldCharType="begin">
          <w:ffData>
            <w:name w:val="Kontrollkästchen19"/>
            <w:enabled/>
            <w:calcOnExit w:val="0"/>
            <w:checkBox>
              <w:sizeAuto/>
              <w:default w:val="0"/>
            </w:checkBox>
          </w:ffData>
        </w:fldChar>
      </w:r>
      <w:r w:rsidRPr="00637932">
        <w:instrText xml:space="preserve"> FORMCHECKBOX </w:instrText>
      </w:r>
      <w:r w:rsidR="000F494F">
        <w:fldChar w:fldCharType="separate"/>
      </w:r>
      <w:r w:rsidRPr="00637932">
        <w:fldChar w:fldCharType="end"/>
      </w:r>
      <w:r w:rsidRPr="00637932">
        <w:t xml:space="preserve"> </w:t>
      </w:r>
      <w:r w:rsidR="00F308A8" w:rsidRPr="007F75F6">
        <w:rPr>
          <w:lang w:val="en-GB"/>
        </w:rPr>
        <w:t>The applicant confirms compliance with the requirement</w:t>
      </w:r>
    </w:p>
    <w:p w14:paraId="36EFBC9B" w14:textId="77777777" w:rsidR="00B5273A" w:rsidRDefault="00B5273A" w:rsidP="00B5273A">
      <w:pPr>
        <w:spacing w:line="240" w:lineRule="auto"/>
        <w:jc w:val="left"/>
      </w:pPr>
    </w:p>
    <w:p w14:paraId="26234E64" w14:textId="77777777" w:rsidR="00C740BB" w:rsidRDefault="00C740BB" w:rsidP="0078583F">
      <w:pPr>
        <w:spacing w:line="360" w:lineRule="auto"/>
        <w:jc w:val="left"/>
      </w:pPr>
    </w:p>
    <w:p w14:paraId="33832221" w14:textId="47628380" w:rsidR="00A63C84" w:rsidRPr="004747C1" w:rsidRDefault="00F308A8" w:rsidP="008964C3">
      <w:pPr>
        <w:pStyle w:val="b3"/>
      </w:pPr>
      <w:bookmarkStart w:id="139" w:name="_Ref100835430"/>
      <w:bookmarkStart w:id="140" w:name="_Toc109635694"/>
      <w:bookmarkStart w:id="141" w:name="_Toc129875209"/>
      <w:r w:rsidRPr="007F75F6">
        <w:rPr>
          <w:lang w:val="en-GB"/>
        </w:rPr>
        <w:t>Efficient use of floor space</w:t>
      </w:r>
      <w:bookmarkEnd w:id="139"/>
      <w:bookmarkEnd w:id="140"/>
      <w:bookmarkEnd w:id="141"/>
    </w:p>
    <w:p w14:paraId="48C1109F" w14:textId="73859927" w:rsidR="00A63C84" w:rsidRPr="004747C1" w:rsidRDefault="00600242" w:rsidP="00A63C84">
      <w:pPr>
        <w:spacing w:before="60" w:after="120" w:line="280" w:lineRule="atLeast"/>
      </w:pPr>
      <w:r w:rsidRPr="007F75F6">
        <w:rPr>
          <w:lang w:val="en-GB"/>
        </w:rPr>
        <w:t xml:space="preserve">In order to help reduce soil sealing, the data </w:t>
      </w:r>
      <w:proofErr w:type="spellStart"/>
      <w:r w:rsidRPr="007F75F6">
        <w:rPr>
          <w:lang w:val="en-GB"/>
        </w:rPr>
        <w:t>center</w:t>
      </w:r>
      <w:proofErr w:type="spellEnd"/>
      <w:r w:rsidRPr="007F75F6">
        <w:rPr>
          <w:lang w:val="en-GB"/>
        </w:rPr>
        <w:t xml:space="preserve"> should make the most efficient use of space possible. In the Energy Efficiency Report, the applicant shall state the following key performance indicators as information about their efficient use of floor space:</w:t>
      </w:r>
    </w:p>
    <w:p w14:paraId="31A78C4A" w14:textId="5AF5DA02" w:rsidR="00A63C84" w:rsidRPr="004747C1" w:rsidRDefault="00600242" w:rsidP="00637932">
      <w:pPr>
        <w:jc w:val="left"/>
      </w:pPr>
      <w:r w:rsidRPr="007F75F6">
        <w:rPr>
          <w:lang w:val="en-GB"/>
        </w:rPr>
        <w:t>Total IT output per square metre of gross floor area [</w:t>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GFA</w:t>
      </w:r>
      <w:r w:rsidRPr="007F75F6">
        <w:rPr>
          <w:lang w:val="en-GB"/>
        </w:rPr>
        <w:t>]</w:t>
      </w:r>
      <w:r w:rsidR="000E2A0C">
        <w:br/>
      </w:r>
      <w:r w:rsidR="000E2A0C">
        <w:br/>
      </w:r>
      <w:r w:rsidR="000E2A0C">
        <w:tab/>
      </w:r>
      <w:r w:rsidR="000E2A0C">
        <w:tab/>
      </w:r>
      <w:r w:rsidR="000E2A0C">
        <w:tab/>
      </w:r>
      <w:r w:rsidR="000E2A0C">
        <w:tab/>
      </w:r>
      <w:r w:rsidR="000E2A0C">
        <w:tab/>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GFA</w:t>
      </w:r>
      <w:r w:rsidRPr="007F75F6">
        <w:rPr>
          <w:lang w:val="en-GB"/>
        </w:rPr>
        <w:tab/>
      </w:r>
      <w:r>
        <w:rPr>
          <w:lang w:val="en-GB"/>
        </w:rPr>
        <w:tab/>
      </w:r>
      <w:r w:rsidRPr="007F75F6">
        <w:rPr>
          <w:lang w:val="en-GB"/>
        </w:rPr>
        <w:t>(state value)</w:t>
      </w:r>
    </w:p>
    <w:p w14:paraId="03BDB546" w14:textId="7966804A" w:rsidR="00A63C84" w:rsidRDefault="00600242" w:rsidP="00637932">
      <w:pPr>
        <w:jc w:val="left"/>
      </w:pPr>
      <w:r w:rsidRPr="007F75F6">
        <w:rPr>
          <w:lang w:val="en-GB"/>
        </w:rPr>
        <w:t>Total IT output per square metre of constructed area [</w:t>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CA</w:t>
      </w:r>
      <w:r w:rsidRPr="007F75F6">
        <w:rPr>
          <w:lang w:val="en-GB"/>
        </w:rPr>
        <w:t>]</w:t>
      </w:r>
      <w:r w:rsidR="000E2A0C">
        <w:br/>
      </w:r>
      <w:r w:rsidR="000E2A0C">
        <w:br/>
      </w:r>
      <w:r w:rsidR="000E2A0C">
        <w:tab/>
      </w:r>
      <w:r w:rsidR="000E2A0C">
        <w:tab/>
      </w:r>
      <w:r w:rsidR="000E2A0C">
        <w:tab/>
      </w:r>
      <w:r w:rsidR="000E2A0C">
        <w:tab/>
      </w:r>
      <w:r w:rsidR="000E2A0C">
        <w:tab/>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CA</w:t>
      </w:r>
      <w:r w:rsidRPr="007F75F6">
        <w:rPr>
          <w:lang w:val="en-GB"/>
        </w:rPr>
        <w:tab/>
      </w:r>
      <w:r>
        <w:rPr>
          <w:lang w:val="en-GB"/>
        </w:rPr>
        <w:tab/>
      </w:r>
      <w:r w:rsidRPr="007F75F6">
        <w:rPr>
          <w:lang w:val="en-GB"/>
        </w:rPr>
        <w:t>(state value)</w:t>
      </w:r>
      <w:r w:rsidR="00D24D5B">
        <w:br/>
      </w:r>
    </w:p>
    <w:p w14:paraId="1FDFEF5C" w14:textId="4A8515B8" w:rsidR="00D24D5B" w:rsidRDefault="00600242" w:rsidP="00637932">
      <w:pPr>
        <w:jc w:val="left"/>
      </w:pPr>
      <w:r w:rsidRPr="007F75F6">
        <w:rPr>
          <w:lang w:val="en-GB"/>
        </w:rPr>
        <w:t>Total IT output per square metre of white space [</w:t>
      </w:r>
      <w:proofErr w:type="spellStart"/>
      <w:r w:rsidRPr="007F75F6">
        <w:rPr>
          <w:lang w:val="en-GB"/>
        </w:rPr>
        <w:t>kW</w:t>
      </w:r>
      <w:r w:rsidRPr="007F75F6">
        <w:rPr>
          <w:vertAlign w:val="subscript"/>
          <w:lang w:val="en-GB"/>
        </w:rPr>
        <w:t>el</w:t>
      </w:r>
      <w:proofErr w:type="spellEnd"/>
      <w:r w:rsidRPr="007F75F6">
        <w:rPr>
          <w:lang w:val="en-GB"/>
        </w:rPr>
        <w:t>/ m²</w:t>
      </w:r>
      <w:r w:rsidRPr="007F75F6">
        <w:rPr>
          <w:vertAlign w:val="subscript"/>
          <w:lang w:val="en-GB"/>
        </w:rPr>
        <w:t>white space</w:t>
      </w:r>
      <w:r w:rsidRPr="007F75F6">
        <w:rPr>
          <w:lang w:val="en-GB"/>
        </w:rPr>
        <w:t>]</w:t>
      </w:r>
      <w:r w:rsidR="00D24D5B">
        <w:br/>
      </w:r>
      <w:r w:rsidR="00D24D5B">
        <w:br/>
      </w:r>
      <w:r w:rsidR="00D24D5B">
        <w:tab/>
      </w:r>
      <w:r w:rsidR="00D24D5B">
        <w:tab/>
      </w:r>
      <w:r w:rsidR="00D24D5B">
        <w:tab/>
      </w:r>
      <w:r w:rsidR="00D24D5B">
        <w:tab/>
      </w:r>
      <w:r w:rsidR="00D24D5B">
        <w:tab/>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white space</w:t>
      </w:r>
      <w:r>
        <w:rPr>
          <w:lang w:val="en-GB"/>
        </w:rPr>
        <w:tab/>
        <w:t xml:space="preserve"> </w:t>
      </w:r>
      <w:r w:rsidRPr="007F75F6">
        <w:rPr>
          <w:lang w:val="en-GB"/>
        </w:rPr>
        <w:t>(state value)</w:t>
      </w:r>
      <w:r w:rsidR="00D24D5B">
        <w:br/>
      </w:r>
    </w:p>
    <w:p w14:paraId="6CEE6759" w14:textId="65E259E6" w:rsidR="00ED1F7F" w:rsidRDefault="004F6014" w:rsidP="00ED1F7F">
      <w:pPr>
        <w:spacing w:before="60" w:after="120" w:line="280" w:lineRule="atLeast"/>
      </w:pPr>
      <w:r w:rsidRPr="007F75F6">
        <w:rPr>
          <w:b/>
          <w:lang w:val="en-GB"/>
        </w:rPr>
        <w:t>Exemption</w:t>
      </w:r>
      <w:r w:rsidRPr="007F75F6">
        <w:rPr>
          <w:lang w:val="en-GB"/>
        </w:rPr>
        <w:t xml:space="preserve">: If the data </w:t>
      </w:r>
      <w:proofErr w:type="spellStart"/>
      <w:r w:rsidRPr="007F75F6">
        <w:rPr>
          <w:lang w:val="en-GB"/>
        </w:rPr>
        <w:t>center</w:t>
      </w:r>
      <w:proofErr w:type="spellEnd"/>
      <w:r w:rsidRPr="007F75F6">
        <w:rPr>
          <w:lang w:val="en-GB"/>
        </w:rPr>
        <w:t xml:space="preserve"> operator only uses part of the building for the data </w:t>
      </w:r>
      <w:proofErr w:type="spellStart"/>
      <w:r w:rsidRPr="007F75F6">
        <w:rPr>
          <w:lang w:val="en-GB"/>
        </w:rPr>
        <w:t>center</w:t>
      </w:r>
      <w:proofErr w:type="spellEnd"/>
      <w:r w:rsidRPr="007F75F6">
        <w:rPr>
          <w:lang w:val="en-GB"/>
        </w:rPr>
        <w:t xml:space="preserve"> and its administration, e.g. as a tenant of a commercial building that is used by several parties or a department of a larger company or an authority, the efficient use of the floor space can be stated using the following key performance indicators:</w:t>
      </w:r>
    </w:p>
    <w:p w14:paraId="10FFB3C0" w14:textId="69509C3D" w:rsidR="0077151A" w:rsidRPr="004747C1" w:rsidRDefault="004F6014" w:rsidP="00637932">
      <w:pPr>
        <w:jc w:val="left"/>
      </w:pPr>
      <w:r w:rsidRPr="007F75F6">
        <w:rPr>
          <w:lang w:val="en-GB"/>
        </w:rPr>
        <w:lastRenderedPageBreak/>
        <w:t>Total IT output per square metre of floor area used [</w:t>
      </w:r>
      <w:proofErr w:type="spellStart"/>
      <w:r w:rsidRPr="007F75F6">
        <w:rPr>
          <w:lang w:val="en-GB"/>
        </w:rPr>
        <w:t>kW</w:t>
      </w:r>
      <w:r w:rsidRPr="007F75F6">
        <w:rPr>
          <w:vertAlign w:val="subscript"/>
          <w:lang w:val="en-GB"/>
        </w:rPr>
        <w:t>el</w:t>
      </w:r>
      <w:proofErr w:type="spellEnd"/>
      <w:r w:rsidRPr="007F75F6">
        <w:rPr>
          <w:lang w:val="en-GB"/>
        </w:rPr>
        <w:t>/m²</w:t>
      </w:r>
      <w:r w:rsidRPr="007F75F6">
        <w:rPr>
          <w:rStyle w:val="Tiefgestellt"/>
          <w:lang w:val="en-GB"/>
        </w:rPr>
        <w:t>FAU</w:t>
      </w:r>
      <w:r w:rsidRPr="007F75F6">
        <w:rPr>
          <w:lang w:val="en-GB"/>
        </w:rPr>
        <w:t>]</w:t>
      </w:r>
      <w:r w:rsidR="0077151A">
        <w:br/>
      </w:r>
      <w:r w:rsidR="0077151A">
        <w:br/>
      </w:r>
      <w:r w:rsidR="0077151A">
        <w:tab/>
      </w:r>
      <w:r w:rsidR="0077151A">
        <w:tab/>
      </w:r>
      <w:r w:rsidR="0077151A">
        <w:tab/>
      </w:r>
      <w:r w:rsidR="0077151A">
        <w:tab/>
      </w:r>
      <w:r w:rsidR="0077151A">
        <w:tab/>
      </w:r>
      <w:proofErr w:type="spellStart"/>
      <w:r w:rsidRPr="007F75F6">
        <w:rPr>
          <w:lang w:val="en-GB"/>
        </w:rPr>
        <w:t>kW</w:t>
      </w:r>
      <w:r w:rsidRPr="007F75F6">
        <w:rPr>
          <w:vertAlign w:val="subscript"/>
          <w:lang w:val="en-GB"/>
        </w:rPr>
        <w:t>el</w:t>
      </w:r>
      <w:proofErr w:type="spellEnd"/>
      <w:r w:rsidRPr="007F75F6">
        <w:rPr>
          <w:lang w:val="en-GB"/>
        </w:rPr>
        <w:t>/m²</w:t>
      </w:r>
      <w:r w:rsidRPr="007F75F6">
        <w:rPr>
          <w:rStyle w:val="Tiefgestellt"/>
          <w:lang w:val="en-GB"/>
        </w:rPr>
        <w:t>FAU</w:t>
      </w:r>
      <w:r w:rsidRPr="007F75F6">
        <w:rPr>
          <w:lang w:val="en-GB"/>
        </w:rPr>
        <w:tab/>
      </w:r>
      <w:r>
        <w:rPr>
          <w:lang w:val="en-GB"/>
        </w:rPr>
        <w:tab/>
      </w:r>
      <w:r w:rsidRPr="007F75F6">
        <w:rPr>
          <w:lang w:val="en-GB"/>
        </w:rPr>
        <w:t>(state value)</w:t>
      </w:r>
    </w:p>
    <w:p w14:paraId="3C9F8E50" w14:textId="4772E956" w:rsidR="0077151A" w:rsidRPr="004747C1" w:rsidRDefault="004F6014" w:rsidP="00637932">
      <w:pPr>
        <w:jc w:val="left"/>
      </w:pPr>
      <w:r w:rsidRPr="007F75F6">
        <w:rPr>
          <w:lang w:val="en-GB"/>
        </w:rPr>
        <w:t>Total IT output per square metre of white space [</w:t>
      </w:r>
      <w:proofErr w:type="spellStart"/>
      <w:r w:rsidRPr="007F75F6">
        <w:rPr>
          <w:lang w:val="en-GB"/>
        </w:rPr>
        <w:t>kW</w:t>
      </w:r>
      <w:r w:rsidRPr="007F75F6">
        <w:rPr>
          <w:vertAlign w:val="subscript"/>
          <w:lang w:val="en-GB"/>
        </w:rPr>
        <w:t>el</w:t>
      </w:r>
      <w:proofErr w:type="spellEnd"/>
      <w:r w:rsidRPr="007F75F6">
        <w:rPr>
          <w:lang w:val="en-GB"/>
        </w:rPr>
        <w:t>/ m²</w:t>
      </w:r>
      <w:r w:rsidRPr="007F75F6">
        <w:rPr>
          <w:vertAlign w:val="subscript"/>
          <w:lang w:val="en-GB"/>
        </w:rPr>
        <w:t>white space</w:t>
      </w:r>
      <w:r w:rsidRPr="007F75F6">
        <w:rPr>
          <w:lang w:val="en-GB"/>
        </w:rPr>
        <w:t>]</w:t>
      </w:r>
      <w:r w:rsidR="0077151A">
        <w:br/>
      </w:r>
      <w:r w:rsidR="0077151A">
        <w:br/>
      </w:r>
      <w:r w:rsidR="0077151A">
        <w:tab/>
      </w:r>
      <w:r w:rsidR="0077151A">
        <w:tab/>
      </w:r>
      <w:r w:rsidR="0077151A">
        <w:tab/>
      </w:r>
      <w:r w:rsidR="0077151A">
        <w:tab/>
      </w:r>
      <w:r w:rsidR="0077151A">
        <w:tab/>
      </w:r>
      <w:proofErr w:type="spellStart"/>
      <w:r w:rsidRPr="007F75F6">
        <w:rPr>
          <w:lang w:val="en-GB"/>
        </w:rPr>
        <w:t>kW</w:t>
      </w:r>
      <w:r w:rsidRPr="007F75F6">
        <w:rPr>
          <w:vertAlign w:val="subscript"/>
          <w:lang w:val="en-GB"/>
        </w:rPr>
        <w:t>el</w:t>
      </w:r>
      <w:proofErr w:type="spellEnd"/>
      <w:r w:rsidRPr="007F75F6">
        <w:rPr>
          <w:lang w:val="en-GB"/>
        </w:rPr>
        <w:t>/m²</w:t>
      </w:r>
      <w:r w:rsidRPr="007F75F6">
        <w:rPr>
          <w:vertAlign w:val="subscript"/>
          <w:lang w:val="en-GB"/>
        </w:rPr>
        <w:t>white space</w:t>
      </w:r>
      <w:r w:rsidRPr="007F75F6">
        <w:rPr>
          <w:lang w:val="en-GB"/>
        </w:rPr>
        <w:tab/>
      </w:r>
      <w:r>
        <w:rPr>
          <w:lang w:val="en-GB"/>
        </w:rPr>
        <w:tab/>
      </w:r>
      <w:r w:rsidRPr="007F75F6">
        <w:rPr>
          <w:lang w:val="en-GB"/>
        </w:rPr>
        <w:t>(state value)</w:t>
      </w:r>
    </w:p>
    <w:p w14:paraId="50236A6E" w14:textId="38D6C117" w:rsidR="00ED1F7F" w:rsidRDefault="004F6014" w:rsidP="00637932">
      <w:r w:rsidRPr="007F75F6">
        <w:rPr>
          <w:lang w:val="en-GB"/>
        </w:rPr>
        <w:t xml:space="preserve">The “floor area used (FAU)” is defined here as the floor area used for the operation and administration of the data </w:t>
      </w:r>
      <w:proofErr w:type="spellStart"/>
      <w:r w:rsidRPr="007F75F6">
        <w:rPr>
          <w:lang w:val="en-GB"/>
        </w:rPr>
        <w:t>center</w:t>
      </w:r>
      <w:proofErr w:type="spellEnd"/>
      <w:r w:rsidRPr="007F75F6">
        <w:rPr>
          <w:lang w:val="en-GB"/>
        </w:rPr>
        <w:t xml:space="preserve">, which is stated, for example, in the lease agreed by the data </w:t>
      </w:r>
      <w:proofErr w:type="spellStart"/>
      <w:r w:rsidRPr="007F75F6">
        <w:rPr>
          <w:lang w:val="en-GB"/>
        </w:rPr>
        <w:t>center</w:t>
      </w:r>
      <w:proofErr w:type="spellEnd"/>
      <w:r w:rsidRPr="007F75F6">
        <w:rPr>
          <w:lang w:val="en-GB"/>
        </w:rPr>
        <w:t xml:space="preserve"> operator or in a comparable user agreement.</w:t>
      </w:r>
      <w:r w:rsidR="00ED1F7F">
        <w:t xml:space="preserve"> </w:t>
      </w:r>
    </w:p>
    <w:p w14:paraId="79B6CFDB" w14:textId="77777777" w:rsidR="00BA34F1" w:rsidRPr="00A63C84" w:rsidRDefault="00BA34F1" w:rsidP="00D24D5B">
      <w:pPr>
        <w:spacing w:before="60" w:after="120" w:line="280" w:lineRule="atLeast"/>
      </w:pPr>
    </w:p>
    <w:p w14:paraId="7550F2DA" w14:textId="0A5A8FD4" w:rsidR="00AE7706" w:rsidRPr="00E54699" w:rsidRDefault="004F6014" w:rsidP="008964C3">
      <w:pPr>
        <w:pStyle w:val="b3"/>
      </w:pPr>
      <w:bookmarkStart w:id="142" w:name="_Ref107403230"/>
      <w:bookmarkStart w:id="143" w:name="_Toc109635695"/>
      <w:bookmarkStart w:id="144" w:name="_Toc129875210"/>
      <w:r w:rsidRPr="007F75F6">
        <w:rPr>
          <w:lang w:val="en-GB"/>
        </w:rPr>
        <w:t>New acquisitions during the term of the contract</w:t>
      </w:r>
      <w:bookmarkEnd w:id="142"/>
      <w:bookmarkEnd w:id="143"/>
      <w:bookmarkEnd w:id="144"/>
    </w:p>
    <w:p w14:paraId="3D817D6C" w14:textId="02EA7347" w:rsidR="00AE7706" w:rsidRDefault="004F6014" w:rsidP="00637932">
      <w:r w:rsidRPr="007F75F6">
        <w:rPr>
          <w:lang w:val="en-GB"/>
        </w:rPr>
        <w:t>If components of the technical building equipment are changed, replaced or newly acquired, the applicant must ensure in advance that they still comply with all of the Basic Award Criteria for this ecolabel. This applies in particular to the following Basic Award Criteria:</w:t>
      </w:r>
    </w:p>
    <w:p w14:paraId="2BB56530" w14:textId="10F2FE96" w:rsidR="00AE7706" w:rsidRDefault="004F6014" w:rsidP="003A2FC5">
      <w:pPr>
        <w:pStyle w:val="AufzhlungPunkt1"/>
      </w:pPr>
      <w:r w:rsidRPr="007F75F6">
        <w:rPr>
          <w:lang w:val="en-GB"/>
        </w:rPr>
        <w:t>PUE ≤ 1.3 (≤1.5 or ≤1.6) (see Paragraph 3.2.7)</w:t>
      </w:r>
    </w:p>
    <w:p w14:paraId="68F7AAD1" w14:textId="2BFCA71D" w:rsidR="00AE7706" w:rsidRDefault="004F6014" w:rsidP="003A2FC5">
      <w:pPr>
        <w:pStyle w:val="AufzhlungPunkt1"/>
      </w:pPr>
      <w:r w:rsidRPr="007F75F6">
        <w:rPr>
          <w:lang w:val="en-GB"/>
        </w:rPr>
        <w:t>CER &gt; 8 (see Paragraph 3.2.8)</w:t>
      </w:r>
    </w:p>
    <w:p w14:paraId="0060FF9A" w14:textId="70CB29F9" w:rsidR="00AE7706" w:rsidRDefault="004F6014" w:rsidP="003A2FC5">
      <w:pPr>
        <w:pStyle w:val="AufzhlungPunkt1"/>
      </w:pPr>
      <w:r w:rsidRPr="007F75F6">
        <w:rPr>
          <w:lang w:val="en-GB"/>
        </w:rPr>
        <w:t>SF6-free switching systems (see Paragraph 3.2.11)</w:t>
      </w:r>
    </w:p>
    <w:p w14:paraId="243A6B19" w14:textId="7DF2CA02" w:rsidR="00AE7706" w:rsidRDefault="004F6014" w:rsidP="003A2FC5">
      <w:pPr>
        <w:pStyle w:val="AufzhlungPunkt1"/>
      </w:pPr>
      <w:r w:rsidRPr="007F75F6">
        <w:rPr>
          <w:lang w:val="en-GB"/>
        </w:rPr>
        <w:t>Halogen-free refrigerants (see Paragraph 3.2.9)</w:t>
      </w:r>
    </w:p>
    <w:p w14:paraId="702B61BE" w14:textId="7E5F3F5D" w:rsidR="00AE7706" w:rsidRDefault="004F6014" w:rsidP="003A2FC5">
      <w:pPr>
        <w:pStyle w:val="AufzhlungPunkt1"/>
      </w:pPr>
      <w:r w:rsidRPr="007F75F6">
        <w:rPr>
          <w:lang w:val="en-GB"/>
        </w:rPr>
        <w:t>Newly acquired components and their important properties must be documented in the IT inventory list (see Paragraph 3.2. 3).</w:t>
      </w:r>
    </w:p>
    <w:p w14:paraId="4B519F13" w14:textId="77777777" w:rsidR="00C740BB" w:rsidRDefault="00C740BB" w:rsidP="00637932"/>
    <w:p w14:paraId="155068DB" w14:textId="79B0D8A9" w:rsidR="00680424" w:rsidRDefault="006B7CC7"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6E0AF5" w:rsidRPr="007F75F6">
        <w:rPr>
          <w:lang w:val="en-GB"/>
        </w:rPr>
        <w:t>The applicant confirms compliance with the requirements at the time of application.</w:t>
      </w:r>
    </w:p>
    <w:p w14:paraId="48D361F0" w14:textId="67B6FD09" w:rsidR="006B7CC7" w:rsidRDefault="00680424"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6E0AF5" w:rsidRPr="007F75F6">
        <w:rPr>
          <w:lang w:val="en-GB"/>
        </w:rPr>
        <w:t>The applicant confirms for the final evaluation that the requirements were complied with during the term of the contract.</w:t>
      </w:r>
    </w:p>
    <w:p w14:paraId="70611FDB" w14:textId="77777777" w:rsidR="00680424" w:rsidRDefault="00680424" w:rsidP="006B7CC7">
      <w:pPr>
        <w:spacing w:line="240" w:lineRule="auto"/>
        <w:jc w:val="left"/>
      </w:pPr>
    </w:p>
    <w:p w14:paraId="5910156F" w14:textId="77777777" w:rsidR="00680424" w:rsidRDefault="00680424" w:rsidP="006B7CC7">
      <w:pPr>
        <w:spacing w:line="240" w:lineRule="auto"/>
        <w:jc w:val="left"/>
      </w:pPr>
    </w:p>
    <w:p w14:paraId="59132D59" w14:textId="3262D50D" w:rsidR="001551D6" w:rsidRPr="001551D6" w:rsidRDefault="006E0AF5" w:rsidP="001551D6">
      <w:pPr>
        <w:pStyle w:val="b2"/>
      </w:pPr>
      <w:bookmarkStart w:id="145" w:name="_Ref105781597"/>
      <w:bookmarkStart w:id="146" w:name="_Ref105781602"/>
      <w:bookmarkStart w:id="147" w:name="_Ref107396409"/>
      <w:bookmarkStart w:id="148" w:name="_Ref107396414"/>
      <w:bookmarkStart w:id="149" w:name="_Toc109635696"/>
      <w:bookmarkStart w:id="150" w:name="_Toc129875211"/>
      <w:r w:rsidRPr="007F75F6">
        <w:rPr>
          <w:lang w:val="en-GB"/>
        </w:rPr>
        <w:t>Requirements for IT operators</w:t>
      </w:r>
      <w:bookmarkEnd w:id="145"/>
      <w:bookmarkEnd w:id="146"/>
      <w:bookmarkEnd w:id="147"/>
      <w:bookmarkEnd w:id="148"/>
      <w:bookmarkEnd w:id="149"/>
      <w:bookmarkEnd w:id="150"/>
    </w:p>
    <w:p w14:paraId="4FBF89FF" w14:textId="1C41B477" w:rsidR="0012431F" w:rsidRDefault="006E0AF5" w:rsidP="008964C3">
      <w:pPr>
        <w:pStyle w:val="b3"/>
      </w:pPr>
      <w:bookmarkStart w:id="151" w:name="_Toc97737876"/>
      <w:bookmarkStart w:id="152" w:name="_Ref100833748"/>
      <w:bookmarkStart w:id="153" w:name="_Toc109635697"/>
      <w:bookmarkStart w:id="154" w:name="_Ref112664640"/>
      <w:bookmarkStart w:id="155" w:name="_Ref116294954"/>
      <w:bookmarkStart w:id="156" w:name="_Toc129875212"/>
      <w:r w:rsidRPr="007F75F6">
        <w:rPr>
          <w:lang w:val="en-GB"/>
        </w:rPr>
        <w:t>IT inventory list</w:t>
      </w:r>
      <w:bookmarkEnd w:id="151"/>
      <w:bookmarkEnd w:id="152"/>
      <w:bookmarkEnd w:id="153"/>
      <w:bookmarkEnd w:id="154"/>
      <w:bookmarkEnd w:id="155"/>
      <w:bookmarkEnd w:id="156"/>
    </w:p>
    <w:p w14:paraId="16690184" w14:textId="77777777" w:rsidR="006E0AF5" w:rsidRPr="007F75F6" w:rsidRDefault="006E0AF5" w:rsidP="006E0AF5">
      <w:pPr>
        <w:rPr>
          <w:lang w:val="en-GB"/>
        </w:rPr>
      </w:pPr>
      <w:r w:rsidRPr="007F75F6">
        <w:rPr>
          <w:lang w:val="en-GB"/>
        </w:rPr>
        <w:t xml:space="preserve">The applicant must submit an inventory list containing all of the IT components installed in the data </w:t>
      </w:r>
      <w:proofErr w:type="spellStart"/>
      <w:r w:rsidRPr="007F75F6">
        <w:rPr>
          <w:lang w:val="en-GB"/>
        </w:rPr>
        <w:t>center</w:t>
      </w:r>
      <w:proofErr w:type="spellEnd"/>
      <w:r w:rsidRPr="007F75F6">
        <w:rPr>
          <w:lang w:val="en-GB"/>
        </w:rPr>
        <w:t>.</w:t>
      </w:r>
    </w:p>
    <w:p w14:paraId="4C574938" w14:textId="556BE205" w:rsidR="0012431F" w:rsidRPr="00976035" w:rsidRDefault="006E0AF5" w:rsidP="006E0AF5">
      <w:r w:rsidRPr="007F75F6">
        <w:rPr>
          <w:lang w:val="en-GB"/>
        </w:rPr>
        <w:t>The IT inventory list must contain at least the following IT components and their important properties:</w:t>
      </w:r>
    </w:p>
    <w:p w14:paraId="4BA0BBB1" w14:textId="3B4027C4" w:rsidR="0012431F" w:rsidRPr="00976035" w:rsidRDefault="0012431F" w:rsidP="003A2FC5">
      <w:pPr>
        <w:pStyle w:val="AufzhlungPunkt1"/>
      </w:pPr>
      <w:r w:rsidRPr="00976035">
        <w:t>Server</w:t>
      </w:r>
      <w:r w:rsidR="00232986">
        <w:t>s</w:t>
      </w:r>
      <w:r w:rsidRPr="00976035">
        <w:t>,</w:t>
      </w:r>
    </w:p>
    <w:p w14:paraId="704D57AE" w14:textId="2B5AFC68" w:rsidR="0012431F" w:rsidRPr="00976035" w:rsidRDefault="00232986" w:rsidP="003A2FC5">
      <w:pPr>
        <w:pStyle w:val="AufzhlungPunkt1"/>
      </w:pPr>
      <w:r w:rsidRPr="007F75F6">
        <w:rPr>
          <w:lang w:val="en-GB"/>
        </w:rPr>
        <w:t>Storage systems</w:t>
      </w:r>
      <w:r w:rsidR="0012431F" w:rsidRPr="00976035">
        <w:t>,</w:t>
      </w:r>
    </w:p>
    <w:p w14:paraId="62299B01" w14:textId="6ED0DCD6" w:rsidR="0012431F" w:rsidRPr="00976035" w:rsidRDefault="00232986" w:rsidP="003A2FC5">
      <w:pPr>
        <w:pStyle w:val="AufzhlungPunkt1"/>
      </w:pPr>
      <w:r w:rsidRPr="007F75F6">
        <w:rPr>
          <w:lang w:val="en-GB"/>
        </w:rPr>
        <w:t>Network equipment</w:t>
      </w:r>
      <w:r w:rsidR="0012431F" w:rsidRPr="00976035">
        <w:t>.</w:t>
      </w:r>
    </w:p>
    <w:p w14:paraId="712C6BAC" w14:textId="77DAEBC3" w:rsidR="0012431F" w:rsidRDefault="00232986" w:rsidP="0012431F">
      <w:pPr>
        <w:spacing w:before="60" w:after="120" w:line="280" w:lineRule="atLeast"/>
      </w:pPr>
      <w:r w:rsidRPr="007F75F6">
        <w:rPr>
          <w:lang w:val="en-GB"/>
        </w:rPr>
        <w:t>The applicant must add any new acquisitions to the inventory list so that the current equipment is always documented.</w:t>
      </w:r>
    </w:p>
    <w:p w14:paraId="502B9E6B" w14:textId="77777777" w:rsidR="00437A6E" w:rsidRDefault="00437A6E" w:rsidP="001B780B">
      <w:pPr>
        <w:spacing w:line="240" w:lineRule="auto"/>
        <w:jc w:val="left"/>
      </w:pPr>
    </w:p>
    <w:p w14:paraId="34694F4E" w14:textId="77777777" w:rsidR="00437A6E" w:rsidRDefault="00437A6E" w:rsidP="001B780B">
      <w:pPr>
        <w:spacing w:line="240" w:lineRule="auto"/>
        <w:jc w:val="left"/>
      </w:pPr>
    </w:p>
    <w:p w14:paraId="47143469" w14:textId="51735951" w:rsidR="008A5DDC" w:rsidRPr="00E80289" w:rsidRDefault="008A5DDC" w:rsidP="008A5DDC">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232986" w:rsidRPr="007F75F6">
        <w:rPr>
          <w:lang w:val="en-GB"/>
        </w:rPr>
        <w:t>The IT inventory list is presented in Annex 4.1.</w:t>
      </w:r>
    </w:p>
    <w:p w14:paraId="6D2B6826" w14:textId="203BAC92" w:rsidR="006210B4" w:rsidRDefault="00232986" w:rsidP="008A5DDC">
      <w:pPr>
        <w:jc w:val="left"/>
      </w:pPr>
      <w:r w:rsidRPr="007F75F6">
        <w:rPr>
          <w:lang w:val="en-GB"/>
        </w:rPr>
        <w:t xml:space="preserve">Alternatively: </w:t>
      </w:r>
    </w:p>
    <w:p w14:paraId="35476900" w14:textId="4010FC0A" w:rsidR="008A5DDC" w:rsidRPr="004747C1" w:rsidRDefault="006210B4" w:rsidP="008A5DDC">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232986" w:rsidRPr="007F75F6">
        <w:rPr>
          <w:lang w:val="en-GB"/>
        </w:rPr>
        <w:t>The IT inventory list is enclosed as Annex 4.1 with the file name:</w:t>
      </w:r>
    </w:p>
    <w:p w14:paraId="0F93EDC2" w14:textId="77777777" w:rsidR="008A5DDC" w:rsidRDefault="008A5DDC" w:rsidP="008A5DDC"/>
    <w:p w14:paraId="3914ED44" w14:textId="77777777" w:rsidR="00EB79FB" w:rsidRDefault="00EB79FB" w:rsidP="008A5DDC"/>
    <w:p w14:paraId="72DF0F9C" w14:textId="5A75E3D5" w:rsidR="00A06BB0" w:rsidRDefault="008B27C5" w:rsidP="008964C3">
      <w:pPr>
        <w:pStyle w:val="b3"/>
      </w:pPr>
      <w:bookmarkStart w:id="157" w:name="_Ref106005650"/>
      <w:bookmarkStart w:id="158" w:name="_Toc109635698"/>
      <w:bookmarkStart w:id="159" w:name="_Toc129875213"/>
      <w:r w:rsidRPr="007F75F6">
        <w:rPr>
          <w:lang w:val="en-GB"/>
        </w:rPr>
        <w:t>Monitoring the IT load</w:t>
      </w:r>
      <w:bookmarkEnd w:id="157"/>
      <w:bookmarkEnd w:id="158"/>
      <w:bookmarkEnd w:id="159"/>
    </w:p>
    <w:p w14:paraId="70B8A261" w14:textId="77777777" w:rsidR="00287BC2" w:rsidRPr="007F75F6" w:rsidRDefault="00287BC2" w:rsidP="00287BC2">
      <w:pPr>
        <w:rPr>
          <w:lang w:val="en-GB"/>
        </w:rPr>
      </w:pPr>
      <w:r w:rsidRPr="007F75F6">
        <w:rPr>
          <w:lang w:val="en-GB"/>
        </w:rPr>
        <w:t xml:space="preserve">In order to ensure the efficient operation of the information technology, the applicant must have implemented a process to monitor the IT utilisation. The data </w:t>
      </w:r>
      <w:proofErr w:type="spellStart"/>
      <w:r w:rsidRPr="007F75F6">
        <w:rPr>
          <w:lang w:val="en-GB"/>
        </w:rPr>
        <w:t>center</w:t>
      </w:r>
      <w:proofErr w:type="spellEnd"/>
      <w:r w:rsidRPr="007F75F6">
        <w:rPr>
          <w:lang w:val="en-GB"/>
        </w:rPr>
        <w:t xml:space="preserve"> must have a monitoring system for the IT load that collects the following datasets:</w:t>
      </w:r>
    </w:p>
    <w:p w14:paraId="763A4877" w14:textId="77777777" w:rsidR="00287BC2" w:rsidRPr="007F75F6" w:rsidRDefault="00287BC2" w:rsidP="00287BC2">
      <w:pPr>
        <w:rPr>
          <w:lang w:val="en-GB"/>
        </w:rPr>
      </w:pPr>
      <w:r w:rsidRPr="007F75F6">
        <w:rPr>
          <w:lang w:val="en-GB"/>
        </w:rPr>
        <w:t xml:space="preserve">For all servers: Average CPU utilisation per server, as an average figure for a period of one month </w:t>
      </w:r>
    </w:p>
    <w:p w14:paraId="34FAE65B" w14:textId="77777777" w:rsidR="00287BC2" w:rsidRPr="007F75F6" w:rsidRDefault="00287BC2" w:rsidP="00287BC2">
      <w:pPr>
        <w:rPr>
          <w:lang w:val="en-GB"/>
        </w:rPr>
      </w:pPr>
      <w:r w:rsidRPr="007F75F6">
        <w:rPr>
          <w:lang w:val="en-GB"/>
        </w:rPr>
        <w:t>For all storage systems: Average storage space utilised per storage system, as an average figure for a period of one month</w:t>
      </w:r>
    </w:p>
    <w:p w14:paraId="0B9057F9" w14:textId="186404E8" w:rsidR="00A06BB0" w:rsidRDefault="00287BC2" w:rsidP="00287BC2">
      <w:r w:rsidRPr="007F75F6">
        <w:rPr>
          <w:lang w:val="en-GB"/>
        </w:rPr>
        <w:t>All datasets must be updated during the term of the Contract on the Use of the Environmental Label and submitted to the auditor as verification in the Energy Efficiency Report for final evaluation if the applicant wishes to reapply for the ecolabel.</w:t>
      </w:r>
    </w:p>
    <w:p w14:paraId="3B8BB556" w14:textId="77777777" w:rsidR="00EB79FB" w:rsidRDefault="00EB79FB" w:rsidP="008A5DDC"/>
    <w:p w14:paraId="79B881D3" w14:textId="4BF2CD19" w:rsidR="005417CD" w:rsidRPr="00E80289" w:rsidRDefault="005417CD" w:rsidP="005417CD">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287BC2" w:rsidRPr="007F75F6">
        <w:rPr>
          <w:lang w:val="en-GB"/>
        </w:rPr>
        <w:t>The monitoring of the IT load is presented in Annex 4.2.</w:t>
      </w:r>
    </w:p>
    <w:p w14:paraId="365976D6" w14:textId="400D9684" w:rsidR="000A5D00" w:rsidRDefault="00287BC2" w:rsidP="005417CD">
      <w:pPr>
        <w:jc w:val="left"/>
      </w:pPr>
      <w:r w:rsidRPr="007F75F6">
        <w:rPr>
          <w:lang w:val="en-GB"/>
        </w:rPr>
        <w:t>Alternatively</w:t>
      </w:r>
      <w:r w:rsidR="005417CD" w:rsidRPr="006B1BD1">
        <w:t xml:space="preserve">: </w:t>
      </w:r>
    </w:p>
    <w:p w14:paraId="2130BAE6" w14:textId="07BF7014" w:rsidR="005417CD" w:rsidRPr="004747C1" w:rsidRDefault="000A5D00" w:rsidP="005417CD">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287BC2" w:rsidRPr="007F75F6">
        <w:rPr>
          <w:lang w:val="en-GB"/>
        </w:rPr>
        <w:t>The monitoring of the IT load is enclosed as Annex 4.2 with the file name:</w:t>
      </w:r>
    </w:p>
    <w:p w14:paraId="657EC426" w14:textId="77777777" w:rsidR="005417CD" w:rsidRDefault="005417CD" w:rsidP="005417CD"/>
    <w:p w14:paraId="4B37C14B" w14:textId="77777777" w:rsidR="005417CD" w:rsidRDefault="005417CD" w:rsidP="005417CD"/>
    <w:p w14:paraId="34FF2BC5" w14:textId="02362859" w:rsidR="00A941A3" w:rsidRPr="009A001E" w:rsidRDefault="002670E6" w:rsidP="008964C3">
      <w:pPr>
        <w:pStyle w:val="b3"/>
      </w:pPr>
      <w:bookmarkStart w:id="160" w:name="_Toc97737878"/>
      <w:bookmarkStart w:id="161" w:name="_Ref103178302"/>
      <w:bookmarkStart w:id="162" w:name="_Toc109635699"/>
      <w:bookmarkStart w:id="163" w:name="_Ref112664651"/>
      <w:bookmarkStart w:id="164" w:name="_Ref116294966"/>
      <w:bookmarkStart w:id="165" w:name="_Toc129875214"/>
      <w:r w:rsidRPr="007F75F6">
        <w:rPr>
          <w:lang w:val="en-GB"/>
        </w:rPr>
        <w:t>Minimum utilisation of the servers</w:t>
      </w:r>
      <w:bookmarkEnd w:id="160"/>
      <w:bookmarkEnd w:id="161"/>
      <w:bookmarkEnd w:id="162"/>
      <w:bookmarkEnd w:id="163"/>
      <w:bookmarkEnd w:id="164"/>
      <w:bookmarkEnd w:id="165"/>
    </w:p>
    <w:p w14:paraId="3C3EF005" w14:textId="4CFE4C2E" w:rsidR="00A941A3" w:rsidRPr="004747C1" w:rsidRDefault="004E5396" w:rsidP="00FB60FE">
      <w:r w:rsidRPr="007F75F6">
        <w:rPr>
          <w:lang w:val="en-GB"/>
        </w:rPr>
        <w:t xml:space="preserve">The servers used in the data </w:t>
      </w:r>
      <w:proofErr w:type="spellStart"/>
      <w:r w:rsidRPr="007F75F6">
        <w:rPr>
          <w:lang w:val="en-GB"/>
        </w:rPr>
        <w:t>center</w:t>
      </w:r>
      <w:proofErr w:type="spellEnd"/>
      <w:r w:rsidRPr="007F75F6">
        <w:rPr>
          <w:lang w:val="en-GB"/>
        </w:rPr>
        <w:t xml:space="preserve"> must have an average CPU utilisation of at least 20 percent over a period of 12 months:</w:t>
      </w:r>
    </w:p>
    <w:p w14:paraId="558AC648" w14:textId="77777777" w:rsidR="00A941A3" w:rsidRPr="00A941A3" w:rsidRDefault="00A941A3" w:rsidP="003A2FC5">
      <w:pPr>
        <w:pStyle w:val="AufzhlungPunkt1"/>
      </w:pPr>
      <w:r w:rsidRPr="00A941A3">
        <w:t xml:space="preserve">ITEUSV ≥ 20% </w:t>
      </w:r>
    </w:p>
    <w:p w14:paraId="47E5A986" w14:textId="2882FFEA" w:rsidR="00410F39" w:rsidRPr="00410F39" w:rsidRDefault="004E5396" w:rsidP="00FB60FE">
      <w:r w:rsidRPr="007F75F6">
        <w:rPr>
          <w:lang w:val="en-GB"/>
        </w:rPr>
        <w:t>Instructions on how to calculate the average values can be found in Appendix D to this document.</w:t>
      </w:r>
    </w:p>
    <w:p w14:paraId="50A54CB3" w14:textId="77777777" w:rsidR="00682A1F" w:rsidRDefault="00682A1F" w:rsidP="00FB60FE"/>
    <w:p w14:paraId="031809AA" w14:textId="77777777" w:rsidR="004E5396" w:rsidRPr="007F75F6" w:rsidRDefault="004E5396" w:rsidP="004E5396">
      <w:pPr>
        <w:rPr>
          <w:lang w:val="en-GB"/>
        </w:rPr>
      </w:pPr>
      <w:r w:rsidRPr="007F75F6">
        <w:rPr>
          <w:b/>
          <w:lang w:val="en-GB"/>
        </w:rPr>
        <w:t>Note 1:</w:t>
      </w:r>
      <w:r w:rsidRPr="007F75F6">
        <w:rPr>
          <w:lang w:val="en-GB"/>
        </w:rPr>
        <w:t xml:space="preserve"> In the event of the low utilisation of </w:t>
      </w:r>
      <w:r>
        <w:rPr>
          <w:lang w:val="en-GB"/>
        </w:rPr>
        <w:t xml:space="preserve">the </w:t>
      </w:r>
      <w:r w:rsidRPr="007F75F6">
        <w:rPr>
          <w:lang w:val="en-GB"/>
        </w:rPr>
        <w:t xml:space="preserve">data </w:t>
      </w:r>
      <w:proofErr w:type="spellStart"/>
      <w:r w:rsidRPr="007F75F6">
        <w:rPr>
          <w:lang w:val="en-GB"/>
        </w:rPr>
        <w:t>center</w:t>
      </w:r>
      <w:proofErr w:type="spellEnd"/>
      <w:r w:rsidRPr="007F75F6">
        <w:rPr>
          <w:lang w:val="en-GB"/>
        </w:rPr>
        <w:t>, this key performance indicator can be complied with by reducing N. This can be achieved by consolidating the load on certain servers and switching other servers off or into a power-saving sleep mode.</w:t>
      </w:r>
    </w:p>
    <w:p w14:paraId="4C377382" w14:textId="77777777" w:rsidR="004E5396" w:rsidRPr="007F75F6" w:rsidRDefault="004E5396" w:rsidP="004E5396">
      <w:pPr>
        <w:rPr>
          <w:lang w:val="en-GB"/>
        </w:rPr>
      </w:pPr>
      <w:r w:rsidRPr="007F75F6">
        <w:rPr>
          <w:b/>
          <w:lang w:val="en-GB"/>
        </w:rPr>
        <w:t>Note 2:</w:t>
      </w:r>
      <w:r w:rsidRPr="007F75F6">
        <w:rPr>
          <w:lang w:val="en-GB"/>
        </w:rPr>
        <w:t xml:space="preserve"> To simplify the collection of data for heterogeneous IT systems, it is sufficient when calculating the average ITEU</w:t>
      </w:r>
      <w:r w:rsidRPr="007F75F6">
        <w:rPr>
          <w:vertAlign w:val="subscript"/>
          <w:lang w:val="en-GB"/>
        </w:rPr>
        <w:t>SV</w:t>
      </w:r>
      <w:r w:rsidRPr="007F75F6">
        <w:rPr>
          <w:lang w:val="en-GB"/>
        </w:rPr>
        <w:t xml:space="preserve"> value if the ITEU</w:t>
      </w:r>
      <w:r w:rsidRPr="007F75F6">
        <w:rPr>
          <w:vertAlign w:val="subscript"/>
          <w:lang w:val="en-GB"/>
        </w:rPr>
        <w:t>SV</w:t>
      </w:r>
      <w:r w:rsidRPr="007F75F6">
        <w:rPr>
          <w:lang w:val="en-GB"/>
        </w:rPr>
        <w:t xml:space="preserve"> value for 90 percent of all physical servers is measured and averaged. The number of measured servers and their share of the total number of servers must be documented in the Energy Efficiency Report.</w:t>
      </w:r>
    </w:p>
    <w:p w14:paraId="06571747" w14:textId="77777777" w:rsidR="004E5396" w:rsidRPr="007F75F6" w:rsidRDefault="004E5396" w:rsidP="004E5396">
      <w:pPr>
        <w:rPr>
          <w:lang w:val="en-GB"/>
        </w:rPr>
      </w:pPr>
      <w:r w:rsidRPr="007F75F6">
        <w:rPr>
          <w:b/>
          <w:lang w:val="en-GB"/>
        </w:rPr>
        <w:t>Exemption 1</w:t>
      </w:r>
      <w:r w:rsidRPr="007F75F6">
        <w:rPr>
          <w:lang w:val="en-GB"/>
        </w:rPr>
        <w:t>:</w:t>
      </w:r>
      <w:r w:rsidRPr="007F75F6">
        <w:rPr>
          <w:b/>
          <w:lang w:val="en-GB"/>
        </w:rPr>
        <w:t xml:space="preserve"> </w:t>
      </w:r>
      <w:r w:rsidRPr="007F75F6">
        <w:rPr>
          <w:lang w:val="en-GB"/>
        </w:rPr>
        <w:t xml:space="preserve">Data </w:t>
      </w:r>
      <w:proofErr w:type="spellStart"/>
      <w:r w:rsidRPr="007F75F6">
        <w:rPr>
          <w:lang w:val="en-GB"/>
        </w:rPr>
        <w:t>centers</w:t>
      </w:r>
      <w:proofErr w:type="spellEnd"/>
      <w:r w:rsidRPr="007F75F6">
        <w:rPr>
          <w:lang w:val="en-GB"/>
        </w:rPr>
        <w:t xml:space="preserve"> that were commissioned less than 15 months ago at the time of the application are exempt from the requirement that the ITEU</w:t>
      </w:r>
      <w:r w:rsidRPr="007F75F6">
        <w:rPr>
          <w:vertAlign w:val="subscript"/>
          <w:lang w:val="en-GB"/>
        </w:rPr>
        <w:t>SV</w:t>
      </w:r>
      <w:r w:rsidRPr="007F75F6">
        <w:rPr>
          <w:lang w:val="en-GB"/>
        </w:rPr>
        <w:t xml:space="preserve"> value must be calculated over a measurement period of twelve months. These new data </w:t>
      </w:r>
      <w:proofErr w:type="spellStart"/>
      <w:r w:rsidRPr="007F75F6">
        <w:rPr>
          <w:lang w:val="en-GB"/>
        </w:rPr>
        <w:t>centers</w:t>
      </w:r>
      <w:proofErr w:type="spellEnd"/>
      <w:r w:rsidRPr="007F75F6">
        <w:rPr>
          <w:lang w:val="en-GB"/>
        </w:rPr>
        <w:t xml:space="preserve"> can also measure the ITEU</w:t>
      </w:r>
      <w:r w:rsidRPr="007F75F6">
        <w:rPr>
          <w:vertAlign w:val="subscript"/>
          <w:lang w:val="en-GB"/>
        </w:rPr>
        <w:t>SV</w:t>
      </w:r>
      <w:r w:rsidRPr="007F75F6">
        <w:rPr>
          <w:lang w:val="en-GB"/>
        </w:rPr>
        <w:t xml:space="preserve"> from the date on which the data </w:t>
      </w:r>
      <w:proofErr w:type="spellStart"/>
      <w:r w:rsidRPr="007F75F6">
        <w:rPr>
          <w:lang w:val="en-GB"/>
        </w:rPr>
        <w:t>center</w:t>
      </w:r>
      <w:proofErr w:type="spellEnd"/>
      <w:r w:rsidRPr="007F75F6">
        <w:rPr>
          <w:lang w:val="en-GB"/>
        </w:rPr>
        <w:t xml:space="preserve"> was commissioned. However, the measurement period must cover at least one full month.</w:t>
      </w:r>
    </w:p>
    <w:p w14:paraId="4BE13284" w14:textId="48AB6636" w:rsidR="00765FD9" w:rsidRPr="00637626" w:rsidRDefault="004E5396" w:rsidP="004E5396">
      <w:r w:rsidRPr="007F75F6">
        <w:rPr>
          <w:b/>
          <w:lang w:val="en-GB"/>
        </w:rPr>
        <w:t>Exemption 2</w:t>
      </w:r>
      <w:r w:rsidRPr="007F75F6">
        <w:rPr>
          <w:lang w:val="en-GB"/>
        </w:rPr>
        <w:t>:</w:t>
      </w:r>
      <w:r w:rsidRPr="007F75F6">
        <w:rPr>
          <w:b/>
          <w:lang w:val="en-GB"/>
        </w:rPr>
        <w:t xml:space="preserve"> </w:t>
      </w:r>
      <w:r w:rsidRPr="007F75F6">
        <w:rPr>
          <w:lang w:val="en-GB"/>
        </w:rPr>
        <w:t>It is not necessary to calculate the IT Equipment Utilization for Servers (ITEU</w:t>
      </w:r>
      <w:r w:rsidRPr="007F75F6">
        <w:rPr>
          <w:vertAlign w:val="subscript"/>
          <w:lang w:val="en-GB"/>
        </w:rPr>
        <w:t>SV</w:t>
      </w:r>
      <w:r w:rsidRPr="007F75F6">
        <w:rPr>
          <w:lang w:val="en-GB"/>
        </w:rPr>
        <w:t>) for those servers that are not covered by the ISO/IEC 30134-5 standard, e.g. because the predominant share of the electrical load on the servers is not generated by CPUs but rather by GPUs (Graphics Processing Units).</w:t>
      </w:r>
    </w:p>
    <w:p w14:paraId="195BDE61" w14:textId="57792284" w:rsidR="00A941A3" w:rsidRDefault="00A941A3" w:rsidP="00FB60FE"/>
    <w:p w14:paraId="5D2DFF63" w14:textId="77777777" w:rsidR="004E5396" w:rsidRDefault="004E5396" w:rsidP="00FB60FE"/>
    <w:p w14:paraId="746EDC58" w14:textId="1142259F" w:rsidR="00694D2E" w:rsidRPr="004747C1" w:rsidRDefault="003527FD" w:rsidP="00FB60FE">
      <w:r w:rsidRPr="007F75F6">
        <w:rPr>
          <w:lang w:val="en-GB"/>
        </w:rPr>
        <w:lastRenderedPageBreak/>
        <w:t>The utilisation of the servers is</w:t>
      </w:r>
      <w:r w:rsidRPr="007F75F6">
        <w:rPr>
          <w:lang w:val="en-GB"/>
        </w:rPr>
        <w:tab/>
      </w:r>
      <w:r w:rsidRPr="007F75F6">
        <w:rPr>
          <w:lang w:val="en-GB"/>
        </w:rPr>
        <w:tab/>
      </w:r>
      <w:r w:rsidRPr="007F75F6">
        <w:rPr>
          <w:lang w:val="en-GB"/>
        </w:rPr>
        <w:tab/>
        <w:t xml:space="preserve"> (state value)</w:t>
      </w:r>
    </w:p>
    <w:p w14:paraId="5C080325" w14:textId="77777777" w:rsidR="005417CD" w:rsidRDefault="005417CD" w:rsidP="00FB60FE"/>
    <w:p w14:paraId="3A6D80ED" w14:textId="0D754CFB" w:rsidR="00682A1F" w:rsidRPr="004747C1" w:rsidRDefault="003527FD" w:rsidP="00FB60FE">
      <w:r w:rsidRPr="007F75F6">
        <w:rPr>
          <w:lang w:val="en-GB"/>
        </w:rPr>
        <w:t>The minimum utilisation of the servers is enclosed as Annex 4.3 with the file name:</w:t>
      </w:r>
    </w:p>
    <w:p w14:paraId="15F7DFD0" w14:textId="77777777" w:rsidR="00682A1F" w:rsidRDefault="00682A1F" w:rsidP="00FB60FE"/>
    <w:p w14:paraId="6151EEA0" w14:textId="77777777" w:rsidR="00F15571" w:rsidRDefault="00F15571" w:rsidP="00FB60FE"/>
    <w:p w14:paraId="1F3C5595" w14:textId="6535AD68" w:rsidR="00087F8C" w:rsidRDefault="00087F8C"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3527FD" w:rsidRPr="007F75F6">
        <w:rPr>
          <w:lang w:val="en-GB"/>
        </w:rPr>
        <w:t>Exemption 1 has been utilised, the utilisation of the servers is</w:t>
      </w:r>
      <w:r w:rsidR="003527FD" w:rsidRPr="007F75F6">
        <w:rPr>
          <w:lang w:val="en-GB"/>
        </w:rPr>
        <w:tab/>
      </w:r>
      <w:r w:rsidR="003527FD" w:rsidRPr="007F75F6">
        <w:rPr>
          <w:lang w:val="en-GB"/>
        </w:rPr>
        <w:tab/>
      </w:r>
      <w:r w:rsidR="003527FD" w:rsidRPr="007F75F6">
        <w:rPr>
          <w:lang w:val="en-GB"/>
        </w:rPr>
        <w:tab/>
      </w:r>
      <w:r w:rsidR="003527FD" w:rsidRPr="007F75F6">
        <w:rPr>
          <w:lang w:val="en-GB"/>
        </w:rPr>
        <w:tab/>
      </w:r>
      <w:r w:rsidR="003527FD" w:rsidRPr="007F75F6">
        <w:rPr>
          <w:lang w:val="en-GB"/>
        </w:rPr>
        <w:tab/>
      </w:r>
      <w:r w:rsidR="003527FD" w:rsidRPr="007F75F6">
        <w:rPr>
          <w:lang w:val="en-GB"/>
        </w:rPr>
        <w:tab/>
      </w:r>
      <w:r w:rsidR="003527FD" w:rsidRPr="007F75F6">
        <w:rPr>
          <w:lang w:val="en-GB"/>
        </w:rPr>
        <w:tab/>
        <w:t xml:space="preserve"> (state value)</w:t>
      </w:r>
    </w:p>
    <w:p w14:paraId="68ABE65B" w14:textId="47DC246C" w:rsidR="00F15571" w:rsidRPr="00E80289" w:rsidRDefault="003527FD" w:rsidP="00FB60FE">
      <w:r w:rsidRPr="007F75F6">
        <w:rPr>
          <w:lang w:val="en-GB"/>
        </w:rPr>
        <w:t>The minimum utilisation of the servers is presented in Annex 4.3.</w:t>
      </w:r>
    </w:p>
    <w:p w14:paraId="25B117DD" w14:textId="3F54D725" w:rsidR="006210B4" w:rsidRDefault="003527FD" w:rsidP="00FB60FE">
      <w:r w:rsidRPr="007F75F6">
        <w:rPr>
          <w:lang w:val="en-GB"/>
        </w:rPr>
        <w:t>Alternatively</w:t>
      </w:r>
      <w:r w:rsidR="00F15571" w:rsidRPr="006B1BD1">
        <w:t xml:space="preserve">: </w:t>
      </w:r>
    </w:p>
    <w:p w14:paraId="15ED34DB" w14:textId="4D9AC46B" w:rsidR="00F15571" w:rsidRPr="004747C1" w:rsidRDefault="006210B4"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3527FD" w:rsidRPr="007F75F6">
        <w:rPr>
          <w:lang w:val="en-GB"/>
        </w:rPr>
        <w:t>The minimum utilisation of the servers is enclosed as Annex 4.3 with the file name:</w:t>
      </w:r>
    </w:p>
    <w:p w14:paraId="4811788B" w14:textId="77777777" w:rsidR="00087F8C" w:rsidRDefault="00087F8C" w:rsidP="00FB60FE"/>
    <w:p w14:paraId="614A552B" w14:textId="77777777" w:rsidR="00015529" w:rsidRDefault="00015529" w:rsidP="00FB60FE"/>
    <w:p w14:paraId="7BB2494E" w14:textId="00451DF8" w:rsidR="00015529" w:rsidRDefault="00015529"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3527FD" w:rsidRPr="007F75F6">
        <w:rPr>
          <w:lang w:val="en-GB"/>
        </w:rPr>
        <w:t>Exemption 2 has been utilised, the ISO/IEC 30134-5 standard is not applicable for the following reason:</w:t>
      </w:r>
    </w:p>
    <w:p w14:paraId="01B32AC1" w14:textId="77777777" w:rsidR="00823893" w:rsidRDefault="00823893" w:rsidP="00FB60FE"/>
    <w:p w14:paraId="517BD380" w14:textId="77777777" w:rsidR="00823893" w:rsidRDefault="00823893" w:rsidP="00087F8C">
      <w:pPr>
        <w:spacing w:line="240" w:lineRule="auto"/>
        <w:jc w:val="left"/>
      </w:pPr>
    </w:p>
    <w:p w14:paraId="166DC7D9" w14:textId="77777777" w:rsidR="00823893" w:rsidRDefault="00823893" w:rsidP="00087F8C">
      <w:pPr>
        <w:spacing w:line="240" w:lineRule="auto"/>
        <w:jc w:val="left"/>
      </w:pPr>
    </w:p>
    <w:p w14:paraId="0C987AFF" w14:textId="77777777" w:rsidR="008A5DDC" w:rsidRDefault="008A5DDC" w:rsidP="008A5DDC">
      <w:pPr>
        <w:keepNext/>
        <w:rPr>
          <w:b/>
          <w:bCs/>
        </w:rPr>
      </w:pPr>
    </w:p>
    <w:p w14:paraId="50B32DBA" w14:textId="77777777" w:rsidR="006019D8" w:rsidRDefault="006019D8" w:rsidP="008964C3">
      <w:pPr>
        <w:pStyle w:val="b3"/>
      </w:pPr>
      <w:bookmarkStart w:id="166" w:name="_Ref100833791"/>
      <w:bookmarkStart w:id="167" w:name="_Toc109635700"/>
      <w:bookmarkStart w:id="168" w:name="_Toc129875215"/>
      <w:r>
        <w:t>Reuse-Management</w:t>
      </w:r>
      <w:bookmarkEnd w:id="166"/>
      <w:bookmarkEnd w:id="167"/>
      <w:bookmarkEnd w:id="168"/>
    </w:p>
    <w:p w14:paraId="3B01ED2B" w14:textId="77777777" w:rsidR="00EA6DF0" w:rsidRPr="007F75F6" w:rsidRDefault="00EA6DF0" w:rsidP="00EA6DF0">
      <w:pPr>
        <w:rPr>
          <w:lang w:val="en-GB"/>
        </w:rPr>
      </w:pPr>
      <w:r w:rsidRPr="007F75F6">
        <w:rPr>
          <w:lang w:val="en-GB"/>
        </w:rPr>
        <w:t>In order to satisfy the guidelines for the avoidance of waste (see German Circular Economy Act (</w:t>
      </w:r>
      <w:proofErr w:type="spellStart"/>
      <w:r w:rsidRPr="007F75F6">
        <w:rPr>
          <w:lang w:val="en-GB"/>
        </w:rPr>
        <w:t>Kreislaufwirtschaftsgesetz</w:t>
      </w:r>
      <w:proofErr w:type="spellEnd"/>
      <w:r w:rsidRPr="007F75F6">
        <w:rPr>
          <w:lang w:val="en-GB"/>
        </w:rPr>
        <w:t xml:space="preserve">) § 6 waste hierarchy), the ecolabel aims to promote the reuse of information technology (servers and storage devices) after the end of their service life in the data </w:t>
      </w:r>
      <w:proofErr w:type="spellStart"/>
      <w:r w:rsidRPr="007F75F6">
        <w:rPr>
          <w:lang w:val="en-GB"/>
        </w:rPr>
        <w:t>center</w:t>
      </w:r>
      <w:proofErr w:type="spellEnd"/>
      <w:r w:rsidRPr="007F75F6">
        <w:rPr>
          <w:lang w:val="en-GB"/>
        </w:rPr>
        <w:t xml:space="preserve">. Information technology that leaves the data </w:t>
      </w:r>
      <w:proofErr w:type="spellStart"/>
      <w:r w:rsidRPr="007F75F6">
        <w:rPr>
          <w:lang w:val="en-GB"/>
        </w:rPr>
        <w:t>center</w:t>
      </w:r>
      <w:proofErr w:type="spellEnd"/>
      <w:r w:rsidRPr="007F75F6">
        <w:rPr>
          <w:lang w:val="en-GB"/>
        </w:rPr>
        <w:t xml:space="preserve"> may not be scrapped or destroyed. The applicant must present a secure process for the deletion of data and a contractual agreement with a refurbishing company (maintenance and refurbishment). The servers may be donated free of charge to charitable organisations or also sold for a fee to professional refurbishing companies (e.g. the manufacturer).</w:t>
      </w:r>
    </w:p>
    <w:p w14:paraId="3BC3BDA3" w14:textId="53F46595" w:rsidR="00461B77" w:rsidRDefault="00EA6DF0" w:rsidP="00EA6DF0">
      <w:pPr>
        <w:rPr>
          <w:b/>
          <w:bCs/>
        </w:rPr>
      </w:pPr>
      <w:r w:rsidRPr="007F75F6">
        <w:rPr>
          <w:lang w:val="en-GB"/>
        </w:rPr>
        <w:t xml:space="preserve">Exemption: Data media that contain confidential information (“classified documents”) according to the General Administrative Provision for the Material Protection of Classified Information (accessible at: </w:t>
      </w:r>
      <w:proofErr w:type="spellStart"/>
      <w:r w:rsidRPr="007F75F6">
        <w:rPr>
          <w:lang w:val="en-GB"/>
        </w:rPr>
        <w:t>GMBl</w:t>
      </w:r>
      <w:proofErr w:type="spellEnd"/>
      <w:r w:rsidRPr="007F75F6">
        <w:rPr>
          <w:lang w:val="en-GB"/>
        </w:rPr>
        <w:t>. 2018 no. 44–47, p. 826) or other sensitive data for which there is no secure and non-destructive deletion process available that meets the requirements of the Federal Office for Information Security (BSI) are exempt from this requirement.</w:t>
      </w:r>
    </w:p>
    <w:p w14:paraId="5F4EE93C" w14:textId="65BA842F" w:rsidR="00154A19" w:rsidRDefault="00154A19" w:rsidP="001A2CCB">
      <w:pPr>
        <w:jc w:val="left"/>
      </w:pPr>
    </w:p>
    <w:p w14:paraId="3F6DFDB4" w14:textId="5487C24C" w:rsidR="00E13BC8" w:rsidRDefault="00E13BC8" w:rsidP="001A2CCB">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4012ED" w:rsidRPr="007F75F6">
        <w:rPr>
          <w:lang w:val="en-GB"/>
        </w:rPr>
        <w:t>A process for the secure deletion of the data is available.</w:t>
      </w:r>
    </w:p>
    <w:p w14:paraId="307A9C1C" w14:textId="77777777" w:rsidR="00E13BC8" w:rsidRDefault="00E13BC8" w:rsidP="001A2CCB">
      <w:pPr>
        <w:jc w:val="left"/>
      </w:pPr>
    </w:p>
    <w:p w14:paraId="623ECF8A" w14:textId="38143908" w:rsidR="00E13BC8" w:rsidRDefault="004012ED" w:rsidP="001A2CCB">
      <w:pPr>
        <w:jc w:val="left"/>
      </w:pPr>
      <w:r w:rsidRPr="007F75F6">
        <w:rPr>
          <w:lang w:val="en-GB"/>
        </w:rPr>
        <w:t>The contract with the refurbishing company is enclosed as Annex 4.4 with the file name:</w:t>
      </w:r>
    </w:p>
    <w:p w14:paraId="35AC5993" w14:textId="77777777" w:rsidR="00592954" w:rsidRDefault="00592954" w:rsidP="001A2CCB"/>
    <w:p w14:paraId="2FF51D4B" w14:textId="77777777" w:rsidR="00B4757B" w:rsidRDefault="00B4757B" w:rsidP="001A2CCB"/>
    <w:p w14:paraId="69718542" w14:textId="7AAE06D6" w:rsidR="00B4757B" w:rsidRDefault="00B4757B" w:rsidP="00B4757B">
      <w:pPr>
        <w:spacing w:line="24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F494F">
        <w:fldChar w:fldCharType="separate"/>
      </w:r>
      <w:r w:rsidRPr="001806FC">
        <w:fldChar w:fldCharType="end"/>
      </w:r>
      <w:r>
        <w:t xml:space="preserve"> </w:t>
      </w:r>
      <w:r w:rsidR="004012ED" w:rsidRPr="007F75F6">
        <w:rPr>
          <w:lang w:val="en-GB"/>
        </w:rPr>
        <w:t>The exemption has been utilised, there is no secure and non-destructive deletion process available for the following reason:</w:t>
      </w:r>
    </w:p>
    <w:p w14:paraId="43122BF6" w14:textId="77777777" w:rsidR="00B4757B" w:rsidRDefault="00B4757B" w:rsidP="001A2CCB"/>
    <w:p w14:paraId="2B2D674B" w14:textId="77777777" w:rsidR="001B780B" w:rsidRDefault="001B780B" w:rsidP="001B780B">
      <w:pPr>
        <w:spacing w:line="240" w:lineRule="auto"/>
        <w:jc w:val="left"/>
        <w:rPr>
          <w:rFonts w:asciiTheme="minorHAnsi" w:eastAsiaTheme="minorHAnsi" w:hAnsiTheme="minorHAnsi"/>
          <w:color w:val="000000" w:themeColor="text1"/>
          <w:lang w:eastAsia="en-US"/>
        </w:rPr>
      </w:pPr>
    </w:p>
    <w:p w14:paraId="07E06371" w14:textId="77777777" w:rsidR="00F64E3A" w:rsidRDefault="00F64E3A">
      <w:pPr>
        <w:spacing w:line="240" w:lineRule="auto"/>
        <w:jc w:val="left"/>
        <w:rPr>
          <w:rFonts w:asciiTheme="minorHAnsi" w:eastAsiaTheme="minorHAnsi" w:hAnsiTheme="minorHAnsi"/>
          <w:color w:val="000000" w:themeColor="text1"/>
          <w:lang w:eastAsia="en-US"/>
        </w:rPr>
      </w:pPr>
      <w:r>
        <w:br w:type="page"/>
      </w:r>
    </w:p>
    <w:p w14:paraId="4653AC8F" w14:textId="04014DB3" w:rsidR="0056346E" w:rsidRDefault="008A4500" w:rsidP="008964C3">
      <w:pPr>
        <w:pStyle w:val="b1"/>
      </w:pPr>
      <w:bookmarkStart w:id="169" w:name="_Toc129875216"/>
      <w:bookmarkStart w:id="170" w:name="_Ref389551404"/>
      <w:bookmarkStart w:id="171" w:name="_Ref390269070"/>
      <w:bookmarkStart w:id="172" w:name="_Ref390269669"/>
      <w:bookmarkStart w:id="173" w:name="_Toc399239527"/>
      <w:bookmarkStart w:id="174" w:name="_Ref398735166"/>
      <w:bookmarkStart w:id="175" w:name="_Ref398799610"/>
      <w:bookmarkStart w:id="176" w:name="_Toc297887283"/>
      <w:bookmarkStart w:id="177" w:name="_Ref297890525"/>
      <w:bookmarkStart w:id="178" w:name="_Ref297890539"/>
      <w:r w:rsidRPr="007F75F6">
        <w:rPr>
          <w:lang w:val="en-GB"/>
        </w:rPr>
        <w:lastRenderedPageBreak/>
        <w:t>Overview of the annexes to the contract</w:t>
      </w:r>
      <w:bookmarkEnd w:id="169"/>
    </w:p>
    <w:p w14:paraId="130FC0DE" w14:textId="21A2A252" w:rsidR="00656327" w:rsidRDefault="008A4500" w:rsidP="0056346E">
      <w:r w:rsidRPr="007F75F6">
        <w:rPr>
          <w:lang w:val="en-GB"/>
        </w:rPr>
        <w:t>Overview of the annexes which must be enclosed with the application documentation</w:t>
      </w:r>
      <w:r>
        <w:rPr>
          <w:lang w:val="en-GB"/>
        </w:rPr>
        <w:br/>
      </w:r>
      <w:r w:rsidRPr="007F75F6">
        <w:rPr>
          <w:lang w:val="en-GB"/>
        </w:rPr>
        <w:t>(also see Annex A):</w:t>
      </w:r>
    </w:p>
    <w:tbl>
      <w:tblPr>
        <w:tblStyle w:val="TabellefrVergabegrundlageKopfzeilegrau"/>
        <w:tblW w:w="9311" w:type="dxa"/>
        <w:tblLook w:val="04A0" w:firstRow="1" w:lastRow="0" w:firstColumn="1" w:lastColumn="0" w:noHBand="0" w:noVBand="1"/>
      </w:tblPr>
      <w:tblGrid>
        <w:gridCol w:w="1011"/>
        <w:gridCol w:w="1386"/>
        <w:gridCol w:w="1756"/>
        <w:gridCol w:w="4347"/>
        <w:gridCol w:w="811"/>
      </w:tblGrid>
      <w:tr w:rsidR="008A4500" w14:paraId="473A00F3" w14:textId="77777777" w:rsidTr="008A4500">
        <w:trPr>
          <w:cnfStyle w:val="100000000000" w:firstRow="1" w:lastRow="0" w:firstColumn="0" w:lastColumn="0" w:oddVBand="0" w:evenVBand="0" w:oddHBand="0" w:evenHBand="0" w:firstRowFirstColumn="0" w:firstRowLastColumn="0" w:lastRowFirstColumn="0" w:lastRowLastColumn="0"/>
          <w:trHeight w:val="591"/>
        </w:trPr>
        <w:tc>
          <w:tcPr>
            <w:tcW w:w="1011" w:type="dxa"/>
          </w:tcPr>
          <w:p w14:paraId="5E66D319" w14:textId="6E91BDF5" w:rsidR="008A4500" w:rsidRDefault="008A4500" w:rsidP="008A4500">
            <w:pPr>
              <w:pStyle w:val="Tabellentextfettkleinlinksbndig"/>
            </w:pPr>
            <w:r w:rsidRPr="007F75F6">
              <w:rPr>
                <w:lang w:val="en-GB"/>
              </w:rPr>
              <w:t>Annex</w:t>
            </w:r>
          </w:p>
        </w:tc>
        <w:tc>
          <w:tcPr>
            <w:tcW w:w="1386" w:type="dxa"/>
          </w:tcPr>
          <w:p w14:paraId="29BD46BE" w14:textId="48A969FC" w:rsidR="008A4500" w:rsidRDefault="008A4500" w:rsidP="008A4500">
            <w:pPr>
              <w:pStyle w:val="Tabellentextfettkleinlinksbndig"/>
            </w:pPr>
            <w:r w:rsidRPr="007F75F6">
              <w:rPr>
                <w:lang w:val="en-GB"/>
              </w:rPr>
              <w:t>Paragraph no.</w:t>
            </w:r>
          </w:p>
        </w:tc>
        <w:tc>
          <w:tcPr>
            <w:tcW w:w="1756" w:type="dxa"/>
          </w:tcPr>
          <w:p w14:paraId="5D4FA6A3" w14:textId="762A0393" w:rsidR="008A4500" w:rsidRDefault="008A4500" w:rsidP="008A4500">
            <w:pPr>
              <w:pStyle w:val="Tabellentextfettkleinlinksbndig"/>
            </w:pPr>
            <w:r w:rsidRPr="007F75F6">
              <w:rPr>
                <w:lang w:val="en-GB"/>
              </w:rPr>
              <w:t>Responsible person</w:t>
            </w:r>
          </w:p>
        </w:tc>
        <w:tc>
          <w:tcPr>
            <w:tcW w:w="4347" w:type="dxa"/>
          </w:tcPr>
          <w:p w14:paraId="53B89D38" w14:textId="2FCDACA5" w:rsidR="008A4500" w:rsidRDefault="008A4500" w:rsidP="008A4500">
            <w:pPr>
              <w:pStyle w:val="Tabellentextfettkleinlinksbndig"/>
            </w:pPr>
            <w:r w:rsidRPr="007F75F6">
              <w:rPr>
                <w:lang w:val="en-GB"/>
              </w:rPr>
              <w:t>Name of annex</w:t>
            </w:r>
          </w:p>
        </w:tc>
        <w:tc>
          <w:tcPr>
            <w:tcW w:w="811" w:type="dxa"/>
          </w:tcPr>
          <w:p w14:paraId="6C745DA9" w14:textId="3C8086D8" w:rsidR="008A4500" w:rsidRDefault="008A4500" w:rsidP="008A4500">
            <w:pPr>
              <w:pStyle w:val="Tabellentextfettkleinlinksbndig"/>
            </w:pPr>
            <w:r w:rsidRPr="007F75F6">
              <w:rPr>
                <w:lang w:val="en-GB"/>
              </w:rPr>
              <w:t>Enclosed?</w:t>
            </w:r>
          </w:p>
        </w:tc>
      </w:tr>
      <w:tr w:rsidR="008A4500" w14:paraId="471CB001" w14:textId="77777777" w:rsidTr="008A4500">
        <w:trPr>
          <w:trHeight w:val="591"/>
        </w:trPr>
        <w:tc>
          <w:tcPr>
            <w:tcW w:w="1011" w:type="dxa"/>
          </w:tcPr>
          <w:p w14:paraId="17433B21" w14:textId="77A4AD48" w:rsidR="008A4500" w:rsidRDefault="008A4500" w:rsidP="008A4500">
            <w:pPr>
              <w:pStyle w:val="Tabellentextstandardkleinlinksbndig"/>
            </w:pPr>
            <w:r w:rsidRPr="007F75F6">
              <w:rPr>
                <w:lang w:val="en-GB"/>
              </w:rPr>
              <w:t>1</w:t>
            </w:r>
          </w:p>
        </w:tc>
        <w:tc>
          <w:tcPr>
            <w:tcW w:w="1386" w:type="dxa"/>
          </w:tcPr>
          <w:p w14:paraId="09401418" w14:textId="11EDD01A" w:rsidR="008A4500" w:rsidRDefault="008A4500" w:rsidP="008A4500">
            <w:pPr>
              <w:pStyle w:val="Tabellentextstandardkleinlinksbndig"/>
            </w:pPr>
            <w:r w:rsidRPr="007F75F6">
              <w:rPr>
                <w:lang w:val="en-GB"/>
              </w:rPr>
              <w:t>1</w:t>
            </w:r>
          </w:p>
        </w:tc>
        <w:tc>
          <w:tcPr>
            <w:tcW w:w="1756" w:type="dxa"/>
          </w:tcPr>
          <w:p w14:paraId="7A4F8B8C" w14:textId="3FA7B988" w:rsidR="008A4500" w:rsidRDefault="008A4500" w:rsidP="008A4500">
            <w:pPr>
              <w:pStyle w:val="Tabellentextstandardkleinlinksbndig"/>
            </w:pPr>
            <w:r w:rsidRPr="007F75F6">
              <w:rPr>
                <w:lang w:val="en-GB"/>
              </w:rPr>
              <w:t>All</w:t>
            </w:r>
          </w:p>
        </w:tc>
        <w:tc>
          <w:tcPr>
            <w:tcW w:w="4347" w:type="dxa"/>
          </w:tcPr>
          <w:p w14:paraId="58A967DA" w14:textId="3B32A6EB" w:rsidR="008A4500" w:rsidRDefault="008A4500" w:rsidP="008A4500">
            <w:pPr>
              <w:pStyle w:val="Tabellentextstandardkleinlinksbndig"/>
            </w:pPr>
            <w:r w:rsidRPr="007F75F6">
              <w:rPr>
                <w:lang w:val="en-GB"/>
              </w:rPr>
              <w:t>Declaration of compliance with the criteria</w:t>
            </w:r>
          </w:p>
        </w:tc>
        <w:sdt>
          <w:sdtPr>
            <w:id w:val="-1577041770"/>
            <w14:checkbox>
              <w14:checked w14:val="0"/>
              <w14:checkedState w14:val="2612" w14:font="MS Gothic"/>
              <w14:uncheckedState w14:val="2610" w14:font="MS Gothic"/>
            </w14:checkbox>
          </w:sdtPr>
          <w:sdtEndPr/>
          <w:sdtContent>
            <w:tc>
              <w:tcPr>
                <w:tcW w:w="811" w:type="dxa"/>
              </w:tcPr>
              <w:p w14:paraId="760208E8" w14:textId="77777777" w:rsidR="008A4500" w:rsidRDefault="008A4500" w:rsidP="008A4500">
                <w:pPr>
                  <w:pStyle w:val="Tabellentextstandardkleinlinksbndig"/>
                </w:pPr>
                <w:r>
                  <w:rPr>
                    <w:rFonts w:ascii="MS Gothic" w:eastAsia="MS Gothic" w:hAnsi="MS Gothic" w:hint="eastAsia"/>
                  </w:rPr>
                  <w:t>☐</w:t>
                </w:r>
              </w:p>
            </w:tc>
          </w:sdtContent>
        </w:sdt>
      </w:tr>
      <w:tr w:rsidR="008A4500" w14:paraId="7FCC6D6C" w14:textId="77777777" w:rsidTr="008A4500">
        <w:trPr>
          <w:trHeight w:val="591"/>
        </w:trPr>
        <w:tc>
          <w:tcPr>
            <w:tcW w:w="1011" w:type="dxa"/>
          </w:tcPr>
          <w:p w14:paraId="3298FCCB" w14:textId="593AD714" w:rsidR="008A4500" w:rsidRDefault="008A4500" w:rsidP="008A4500">
            <w:pPr>
              <w:pStyle w:val="Tabellentextstandardkleinlinksbndig"/>
            </w:pPr>
            <w:r w:rsidRPr="007F75F6">
              <w:rPr>
                <w:lang w:val="en-GB"/>
              </w:rPr>
              <w:t>3.1</w:t>
            </w:r>
          </w:p>
        </w:tc>
        <w:tc>
          <w:tcPr>
            <w:tcW w:w="1386" w:type="dxa"/>
          </w:tcPr>
          <w:p w14:paraId="3226B6D6" w14:textId="3518A8E9" w:rsidR="008A4500" w:rsidRDefault="008A4500" w:rsidP="008A4500">
            <w:pPr>
              <w:pStyle w:val="Tabellentextstandardkleinlinksbndig"/>
            </w:pPr>
            <w:r w:rsidRPr="007F75F6">
              <w:rPr>
                <w:lang w:val="en-GB"/>
              </w:rPr>
              <w:t>3.1.1</w:t>
            </w:r>
          </w:p>
        </w:tc>
        <w:tc>
          <w:tcPr>
            <w:tcW w:w="1756" w:type="dxa"/>
          </w:tcPr>
          <w:p w14:paraId="12410756" w14:textId="4C889EA7" w:rsidR="008A4500" w:rsidRDefault="008A4500" w:rsidP="008A4500">
            <w:pPr>
              <w:pStyle w:val="Tabellentextstandardkleinlinksbndig"/>
            </w:pPr>
            <w:r w:rsidRPr="007F75F6">
              <w:rPr>
                <w:lang w:val="en-GB"/>
              </w:rPr>
              <w:t>All</w:t>
            </w:r>
          </w:p>
        </w:tc>
        <w:tc>
          <w:tcPr>
            <w:tcW w:w="4347" w:type="dxa"/>
          </w:tcPr>
          <w:p w14:paraId="63C32EAE" w14:textId="6E266E39" w:rsidR="008A4500" w:rsidRDefault="008A4500" w:rsidP="008A4500">
            <w:pPr>
              <w:pStyle w:val="Tabellentextstandardkleinlinksbndig"/>
            </w:pPr>
            <w:r w:rsidRPr="007F75F6">
              <w:rPr>
                <w:lang w:val="en-GB"/>
              </w:rPr>
              <w:t>Description of the energy management system</w:t>
            </w:r>
          </w:p>
        </w:tc>
        <w:sdt>
          <w:sdtPr>
            <w:id w:val="-280264402"/>
            <w14:checkbox>
              <w14:checked w14:val="0"/>
              <w14:checkedState w14:val="2612" w14:font="MS Gothic"/>
              <w14:uncheckedState w14:val="2610" w14:font="MS Gothic"/>
            </w14:checkbox>
          </w:sdtPr>
          <w:sdtEndPr/>
          <w:sdtContent>
            <w:tc>
              <w:tcPr>
                <w:tcW w:w="811" w:type="dxa"/>
              </w:tcPr>
              <w:p w14:paraId="51E2AB24" w14:textId="77777777" w:rsidR="008A4500" w:rsidRDefault="008A4500" w:rsidP="008A4500">
                <w:pPr>
                  <w:pStyle w:val="Tabellentextstandardkleinlinksbndig"/>
                </w:pPr>
                <w:r>
                  <w:rPr>
                    <w:rFonts w:ascii="MS Gothic" w:eastAsia="MS Gothic" w:hAnsi="MS Gothic" w:hint="eastAsia"/>
                  </w:rPr>
                  <w:t>☐</w:t>
                </w:r>
              </w:p>
            </w:tc>
          </w:sdtContent>
        </w:sdt>
      </w:tr>
      <w:tr w:rsidR="008A4500" w14:paraId="4E965B89" w14:textId="77777777" w:rsidTr="008A4500">
        <w:trPr>
          <w:trHeight w:val="591"/>
        </w:trPr>
        <w:tc>
          <w:tcPr>
            <w:tcW w:w="1011" w:type="dxa"/>
          </w:tcPr>
          <w:p w14:paraId="608ED745" w14:textId="0EC7E017" w:rsidR="008A4500" w:rsidRDefault="008A4500" w:rsidP="008A4500">
            <w:pPr>
              <w:pStyle w:val="Tabellentextstandardkleinlinksbndig"/>
            </w:pPr>
            <w:r w:rsidRPr="007F75F6">
              <w:rPr>
                <w:lang w:val="en-GB"/>
              </w:rPr>
              <w:t>2</w:t>
            </w:r>
          </w:p>
        </w:tc>
        <w:tc>
          <w:tcPr>
            <w:tcW w:w="1386" w:type="dxa"/>
          </w:tcPr>
          <w:p w14:paraId="62E568D3" w14:textId="1FCBBA15" w:rsidR="008A4500" w:rsidRDefault="008A4500" w:rsidP="008A4500">
            <w:pPr>
              <w:pStyle w:val="Tabellentextstandardkleinlinksbndig"/>
            </w:pPr>
            <w:r w:rsidRPr="007F75F6">
              <w:rPr>
                <w:lang w:val="en-GB"/>
              </w:rPr>
              <w:t>3.1.2</w:t>
            </w:r>
          </w:p>
        </w:tc>
        <w:tc>
          <w:tcPr>
            <w:tcW w:w="1756" w:type="dxa"/>
          </w:tcPr>
          <w:p w14:paraId="15F36309" w14:textId="6F301DE7" w:rsidR="008A4500" w:rsidRDefault="008A4500" w:rsidP="008A4500">
            <w:pPr>
              <w:pStyle w:val="Tabellentextstandardkleinlinksbndig"/>
            </w:pPr>
            <w:r w:rsidRPr="007F75F6">
              <w:rPr>
                <w:lang w:val="en-GB"/>
              </w:rPr>
              <w:t>All</w:t>
            </w:r>
          </w:p>
        </w:tc>
        <w:tc>
          <w:tcPr>
            <w:tcW w:w="4347" w:type="dxa"/>
          </w:tcPr>
          <w:p w14:paraId="352B17D4" w14:textId="7D3BF90B" w:rsidR="008A4500" w:rsidRDefault="008A4500" w:rsidP="008A4500">
            <w:pPr>
              <w:pStyle w:val="Tabellentextstandardkleinlinksbndig"/>
            </w:pPr>
            <w:r w:rsidRPr="007F75F6">
              <w:rPr>
                <w:lang w:val="en-GB"/>
              </w:rPr>
              <w:t>Energy Efficiency Report at the time of application</w:t>
            </w:r>
          </w:p>
        </w:tc>
        <w:sdt>
          <w:sdtPr>
            <w:id w:val="117498918"/>
            <w14:checkbox>
              <w14:checked w14:val="0"/>
              <w14:checkedState w14:val="2612" w14:font="MS Gothic"/>
              <w14:uncheckedState w14:val="2610" w14:font="MS Gothic"/>
            </w14:checkbox>
          </w:sdtPr>
          <w:sdtEndPr/>
          <w:sdtContent>
            <w:tc>
              <w:tcPr>
                <w:tcW w:w="811" w:type="dxa"/>
              </w:tcPr>
              <w:p w14:paraId="513DE566" w14:textId="77777777" w:rsidR="008A4500" w:rsidRDefault="008A4500" w:rsidP="008A4500">
                <w:pPr>
                  <w:pStyle w:val="Tabellentextstandardkleinlinksbndig"/>
                </w:pPr>
                <w:r>
                  <w:rPr>
                    <w:rFonts w:ascii="MS Gothic" w:eastAsia="MS Gothic" w:hAnsi="MS Gothic" w:hint="eastAsia"/>
                  </w:rPr>
                  <w:t>☐</w:t>
                </w:r>
              </w:p>
            </w:tc>
          </w:sdtContent>
        </w:sdt>
      </w:tr>
      <w:tr w:rsidR="008A4500" w14:paraId="1C354092" w14:textId="77777777" w:rsidTr="008A4500">
        <w:trPr>
          <w:trHeight w:val="591"/>
        </w:trPr>
        <w:tc>
          <w:tcPr>
            <w:tcW w:w="1011" w:type="dxa"/>
          </w:tcPr>
          <w:p w14:paraId="79427CAB" w14:textId="7DFEE4F5" w:rsidR="008A4500" w:rsidRDefault="008A4500" w:rsidP="008A4500">
            <w:pPr>
              <w:pStyle w:val="Tabellentextstandardkleinlinksbndig"/>
            </w:pPr>
            <w:r w:rsidRPr="007F75F6">
              <w:rPr>
                <w:lang w:val="en-GB"/>
              </w:rPr>
              <w:t>2</w:t>
            </w:r>
          </w:p>
        </w:tc>
        <w:tc>
          <w:tcPr>
            <w:tcW w:w="1386" w:type="dxa"/>
          </w:tcPr>
          <w:p w14:paraId="06B5AD87" w14:textId="14EE6B87" w:rsidR="008A4500" w:rsidRDefault="008A4500" w:rsidP="008A4500">
            <w:pPr>
              <w:pStyle w:val="Tabellentextstandardkleinlinksbndig"/>
            </w:pPr>
            <w:r w:rsidRPr="007F75F6">
              <w:rPr>
                <w:lang w:val="en-GB"/>
              </w:rPr>
              <w:fldChar w:fldCharType="begin"/>
            </w:r>
            <w:r w:rsidRPr="007F75F6">
              <w:rPr>
                <w:lang w:val="en-GB"/>
              </w:rPr>
              <w:instrText xml:space="preserve"> REF _Ref122101489 \r  \* MERGEFORMAT </w:instrText>
            </w:r>
            <w:r w:rsidRPr="007F75F6">
              <w:rPr>
                <w:lang w:val="en-GB"/>
              </w:rPr>
              <w:fldChar w:fldCharType="separate"/>
            </w:r>
            <w:r w:rsidRPr="007F75F6">
              <w:rPr>
                <w:lang w:val="en-GB"/>
              </w:rPr>
              <w:t>3.1.3</w:t>
            </w:r>
            <w:r w:rsidRPr="007F75F6">
              <w:rPr>
                <w:lang w:val="en-GB"/>
              </w:rPr>
              <w:fldChar w:fldCharType="end"/>
            </w:r>
          </w:p>
        </w:tc>
        <w:tc>
          <w:tcPr>
            <w:tcW w:w="1756" w:type="dxa"/>
          </w:tcPr>
          <w:p w14:paraId="02CEBBD5" w14:textId="249EC1D7" w:rsidR="008A4500" w:rsidRDefault="008A4500" w:rsidP="008A4500">
            <w:pPr>
              <w:pStyle w:val="Tabellentextstandardkleinlinksbndig"/>
            </w:pPr>
            <w:r w:rsidRPr="007F75F6">
              <w:rPr>
                <w:lang w:val="en-GB"/>
              </w:rPr>
              <w:t>All</w:t>
            </w:r>
          </w:p>
        </w:tc>
        <w:tc>
          <w:tcPr>
            <w:tcW w:w="4347" w:type="dxa"/>
          </w:tcPr>
          <w:p w14:paraId="50089F2A" w14:textId="1DD73B7F" w:rsidR="008A4500" w:rsidRDefault="008A4500" w:rsidP="008A4500">
            <w:pPr>
              <w:pStyle w:val="Tabellentextstandardkleinlinksbndig"/>
            </w:pPr>
            <w:r w:rsidRPr="007F75F6">
              <w:rPr>
                <w:lang w:val="en-GB"/>
              </w:rPr>
              <w:t>Energy Efficiency Report for final evaluation</w:t>
            </w:r>
          </w:p>
        </w:tc>
        <w:sdt>
          <w:sdtPr>
            <w:id w:val="937956868"/>
            <w14:checkbox>
              <w14:checked w14:val="0"/>
              <w14:checkedState w14:val="2612" w14:font="MS Gothic"/>
              <w14:uncheckedState w14:val="2610" w14:font="MS Gothic"/>
            </w14:checkbox>
          </w:sdtPr>
          <w:sdtEndPr/>
          <w:sdtContent>
            <w:tc>
              <w:tcPr>
                <w:tcW w:w="811" w:type="dxa"/>
              </w:tcPr>
              <w:p w14:paraId="75CEDE5B" w14:textId="77777777" w:rsidR="008A4500" w:rsidRDefault="008A4500" w:rsidP="008A4500">
                <w:pPr>
                  <w:pStyle w:val="Tabellentextstandardkleinlinksbndig"/>
                </w:pPr>
                <w:r>
                  <w:rPr>
                    <w:rFonts w:ascii="MS Gothic" w:eastAsia="MS Gothic" w:hAnsi="MS Gothic" w:hint="eastAsia"/>
                  </w:rPr>
                  <w:t>☐</w:t>
                </w:r>
              </w:p>
            </w:tc>
          </w:sdtContent>
        </w:sdt>
      </w:tr>
      <w:tr w:rsidR="008A4500" w14:paraId="2F5BD0C7" w14:textId="77777777" w:rsidTr="008A4500">
        <w:trPr>
          <w:trHeight w:val="591"/>
        </w:trPr>
        <w:tc>
          <w:tcPr>
            <w:tcW w:w="1011" w:type="dxa"/>
          </w:tcPr>
          <w:p w14:paraId="41FAF017" w14:textId="06248D43" w:rsidR="008A4500" w:rsidRDefault="008A4500" w:rsidP="008A4500">
            <w:pPr>
              <w:pStyle w:val="Tabellentextstandardkleinlinksbndig"/>
            </w:pPr>
            <w:r w:rsidRPr="007F75F6">
              <w:rPr>
                <w:lang w:val="en-GB"/>
              </w:rPr>
              <w:t>3.2</w:t>
            </w:r>
          </w:p>
        </w:tc>
        <w:tc>
          <w:tcPr>
            <w:tcW w:w="1386" w:type="dxa"/>
          </w:tcPr>
          <w:p w14:paraId="52D96E08" w14:textId="533A4DC1" w:rsidR="008A4500" w:rsidRDefault="008A4500" w:rsidP="008A4500">
            <w:pPr>
              <w:pStyle w:val="Tabellentextstandardkleinlinksbndig"/>
            </w:pPr>
            <w:r w:rsidRPr="007F75F6">
              <w:rPr>
                <w:lang w:val="en-GB"/>
              </w:rPr>
              <w:t>3.2.1</w:t>
            </w:r>
          </w:p>
        </w:tc>
        <w:tc>
          <w:tcPr>
            <w:tcW w:w="1756" w:type="dxa"/>
          </w:tcPr>
          <w:p w14:paraId="7A5F1446" w14:textId="03B9E2A0" w:rsidR="008A4500" w:rsidRPr="00320F3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2C99CCCC" w14:textId="31781F08" w:rsidR="008A4500" w:rsidRDefault="008A4500" w:rsidP="008A4500">
            <w:pPr>
              <w:pStyle w:val="Tabellentextstandardkleinlinksbndig"/>
            </w:pPr>
            <w:r w:rsidRPr="007F75F6">
              <w:rPr>
                <w:lang w:val="en-GB"/>
              </w:rPr>
              <w:t>Measurement concept for the electricity distribution</w:t>
            </w:r>
          </w:p>
        </w:tc>
        <w:sdt>
          <w:sdtPr>
            <w:id w:val="255873499"/>
            <w14:checkbox>
              <w14:checked w14:val="0"/>
              <w14:checkedState w14:val="2612" w14:font="MS Gothic"/>
              <w14:uncheckedState w14:val="2610" w14:font="MS Gothic"/>
            </w14:checkbox>
          </w:sdtPr>
          <w:sdtEndPr/>
          <w:sdtContent>
            <w:tc>
              <w:tcPr>
                <w:tcW w:w="811" w:type="dxa"/>
              </w:tcPr>
              <w:p w14:paraId="23528242" w14:textId="77777777" w:rsidR="008A4500" w:rsidRDefault="008A4500" w:rsidP="008A4500">
                <w:pPr>
                  <w:pStyle w:val="Tabellentextstandardkleinlinksbndig"/>
                </w:pPr>
                <w:r>
                  <w:rPr>
                    <w:rFonts w:ascii="MS Gothic" w:eastAsia="MS Gothic" w:hAnsi="MS Gothic" w:hint="eastAsia"/>
                  </w:rPr>
                  <w:t>☐</w:t>
                </w:r>
              </w:p>
            </w:tc>
          </w:sdtContent>
        </w:sdt>
      </w:tr>
      <w:tr w:rsidR="008A4500" w14:paraId="41CB44F2" w14:textId="77777777" w:rsidTr="008A4500">
        <w:trPr>
          <w:trHeight w:val="591"/>
        </w:trPr>
        <w:tc>
          <w:tcPr>
            <w:tcW w:w="1011" w:type="dxa"/>
          </w:tcPr>
          <w:p w14:paraId="706541F9" w14:textId="28AD0D30" w:rsidR="008A4500" w:rsidRDefault="008A4500" w:rsidP="008A4500">
            <w:pPr>
              <w:pStyle w:val="Tabellentextstandardkleinlinksbndig"/>
            </w:pPr>
            <w:r w:rsidRPr="007F75F6">
              <w:rPr>
                <w:lang w:val="en-GB"/>
              </w:rPr>
              <w:t>3.3</w:t>
            </w:r>
          </w:p>
        </w:tc>
        <w:tc>
          <w:tcPr>
            <w:tcW w:w="1386" w:type="dxa"/>
          </w:tcPr>
          <w:p w14:paraId="77A0EBEF" w14:textId="4B9461DA" w:rsidR="008A4500" w:rsidRDefault="008A4500" w:rsidP="008A4500">
            <w:pPr>
              <w:pStyle w:val="Tabellentextstandardkleinlinksbndig"/>
            </w:pPr>
            <w:r w:rsidRPr="007F75F6">
              <w:rPr>
                <w:lang w:val="en-GB"/>
              </w:rPr>
              <w:t>3.2.1</w:t>
            </w:r>
          </w:p>
        </w:tc>
        <w:tc>
          <w:tcPr>
            <w:tcW w:w="1756" w:type="dxa"/>
          </w:tcPr>
          <w:p w14:paraId="7388210A" w14:textId="7D6FF094" w:rsidR="008A4500" w:rsidRPr="00320F3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48686828" w14:textId="5EC0DB9A" w:rsidR="008A4500" w:rsidRDefault="008A4500" w:rsidP="008A4500">
            <w:pPr>
              <w:pStyle w:val="Tabellentextstandardkleinlinksbndig"/>
            </w:pPr>
            <w:r w:rsidRPr="007F75F6">
              <w:rPr>
                <w:lang w:val="en-GB"/>
              </w:rPr>
              <w:t>Measurement concept for the cooling distribution</w:t>
            </w:r>
          </w:p>
        </w:tc>
        <w:sdt>
          <w:sdtPr>
            <w:id w:val="-1715884188"/>
            <w14:checkbox>
              <w14:checked w14:val="0"/>
              <w14:checkedState w14:val="2612" w14:font="MS Gothic"/>
              <w14:uncheckedState w14:val="2610" w14:font="MS Gothic"/>
            </w14:checkbox>
          </w:sdtPr>
          <w:sdtEndPr/>
          <w:sdtContent>
            <w:tc>
              <w:tcPr>
                <w:tcW w:w="811" w:type="dxa"/>
              </w:tcPr>
              <w:p w14:paraId="6870932E" w14:textId="77777777" w:rsidR="008A4500" w:rsidRDefault="008A4500" w:rsidP="008A4500">
                <w:pPr>
                  <w:pStyle w:val="Tabellentextstandardkleinlinksbndig"/>
                </w:pPr>
                <w:r>
                  <w:rPr>
                    <w:rFonts w:ascii="MS Gothic" w:eastAsia="MS Gothic" w:hAnsi="MS Gothic" w:hint="eastAsia"/>
                  </w:rPr>
                  <w:t>☐</w:t>
                </w:r>
              </w:p>
            </w:tc>
          </w:sdtContent>
        </w:sdt>
      </w:tr>
      <w:tr w:rsidR="008A4500" w14:paraId="7863C3BB" w14:textId="77777777" w:rsidTr="008A4500">
        <w:trPr>
          <w:trHeight w:val="576"/>
        </w:trPr>
        <w:tc>
          <w:tcPr>
            <w:tcW w:w="1011" w:type="dxa"/>
          </w:tcPr>
          <w:p w14:paraId="2E20CDB5" w14:textId="78F117A5" w:rsidR="008A4500" w:rsidRDefault="008A4500" w:rsidP="008A4500">
            <w:pPr>
              <w:pStyle w:val="Tabellentextstandardkleinlinksbndig"/>
            </w:pPr>
            <w:r w:rsidRPr="007F75F6">
              <w:rPr>
                <w:lang w:val="en-GB"/>
              </w:rPr>
              <w:t>3.4</w:t>
            </w:r>
          </w:p>
        </w:tc>
        <w:tc>
          <w:tcPr>
            <w:tcW w:w="1386" w:type="dxa"/>
          </w:tcPr>
          <w:p w14:paraId="3B8071C5" w14:textId="2C80EB6F" w:rsidR="008A4500" w:rsidRDefault="008A4500" w:rsidP="008A4500">
            <w:pPr>
              <w:pStyle w:val="Tabellentextstandardkleinlinksbndig"/>
            </w:pPr>
            <w:r w:rsidRPr="007F75F6">
              <w:rPr>
                <w:lang w:val="en-GB"/>
              </w:rPr>
              <w:t>3.2.2</w:t>
            </w:r>
          </w:p>
        </w:tc>
        <w:tc>
          <w:tcPr>
            <w:tcW w:w="1756" w:type="dxa"/>
          </w:tcPr>
          <w:p w14:paraId="49996450" w14:textId="49364870" w:rsidR="008A450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1CAA316C" w14:textId="2238C8E6" w:rsidR="008A4500" w:rsidRPr="00955BAE" w:rsidRDefault="008A4500" w:rsidP="008A4500">
            <w:pPr>
              <w:pStyle w:val="Tabellentextstandardkleinlinksbndig"/>
            </w:pPr>
            <w:r w:rsidRPr="007F75F6">
              <w:rPr>
                <w:lang w:val="en-GB"/>
              </w:rPr>
              <w:t>Monitoring of energy, air conditioning, water</w:t>
            </w:r>
          </w:p>
        </w:tc>
        <w:sdt>
          <w:sdtPr>
            <w:id w:val="-310942600"/>
            <w14:checkbox>
              <w14:checked w14:val="0"/>
              <w14:checkedState w14:val="2612" w14:font="MS Gothic"/>
              <w14:uncheckedState w14:val="2610" w14:font="MS Gothic"/>
            </w14:checkbox>
          </w:sdtPr>
          <w:sdtEndPr/>
          <w:sdtContent>
            <w:tc>
              <w:tcPr>
                <w:tcW w:w="811" w:type="dxa"/>
              </w:tcPr>
              <w:p w14:paraId="4836C657" w14:textId="77777777" w:rsidR="008A4500" w:rsidRDefault="008A4500" w:rsidP="008A4500">
                <w:pPr>
                  <w:pStyle w:val="Tabellentextstandardkleinlinksbndig"/>
                </w:pPr>
                <w:r>
                  <w:rPr>
                    <w:rFonts w:ascii="MS Gothic" w:eastAsia="MS Gothic" w:hAnsi="MS Gothic" w:hint="eastAsia"/>
                  </w:rPr>
                  <w:t>☐</w:t>
                </w:r>
              </w:p>
            </w:tc>
          </w:sdtContent>
        </w:sdt>
      </w:tr>
      <w:tr w:rsidR="008A4500" w14:paraId="3AC4977B" w14:textId="77777777" w:rsidTr="008A4500">
        <w:trPr>
          <w:trHeight w:val="576"/>
        </w:trPr>
        <w:tc>
          <w:tcPr>
            <w:tcW w:w="1011" w:type="dxa"/>
          </w:tcPr>
          <w:p w14:paraId="2658CBC1" w14:textId="7EB2C15C" w:rsidR="008A4500" w:rsidRDefault="008A4500" w:rsidP="008A4500">
            <w:pPr>
              <w:pStyle w:val="Tabellentextstandardkleinlinksbndig"/>
            </w:pPr>
            <w:r w:rsidRPr="007F75F6">
              <w:rPr>
                <w:lang w:val="en-GB"/>
              </w:rPr>
              <w:t>3.5</w:t>
            </w:r>
          </w:p>
        </w:tc>
        <w:tc>
          <w:tcPr>
            <w:tcW w:w="1386" w:type="dxa"/>
          </w:tcPr>
          <w:p w14:paraId="378D7777" w14:textId="5CB23AB8" w:rsidR="008A4500" w:rsidRDefault="008A4500" w:rsidP="008A4500">
            <w:pPr>
              <w:pStyle w:val="Tabellentextstandardkleinlinksbndig"/>
            </w:pPr>
            <w:r w:rsidRPr="007F75F6">
              <w:rPr>
                <w:lang w:val="en-GB"/>
              </w:rPr>
              <w:t>3.2.3</w:t>
            </w:r>
          </w:p>
        </w:tc>
        <w:tc>
          <w:tcPr>
            <w:tcW w:w="1756" w:type="dxa"/>
          </w:tcPr>
          <w:p w14:paraId="492CED97" w14:textId="1E3D931E" w:rsidR="008A450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5BA3A022" w14:textId="5E696C43" w:rsidR="008A4500" w:rsidRPr="001D2D27" w:rsidRDefault="008A4500" w:rsidP="008A4500">
            <w:pPr>
              <w:pStyle w:val="Tabellentextstandardkleinlinksbndig"/>
            </w:pPr>
            <w:r w:rsidRPr="007F75F6">
              <w:rPr>
                <w:lang w:val="en-GB"/>
              </w:rPr>
              <w:t>Inventory list of the technical equipment</w:t>
            </w:r>
          </w:p>
        </w:tc>
        <w:sdt>
          <w:sdtPr>
            <w:id w:val="-1334917642"/>
            <w14:checkbox>
              <w14:checked w14:val="0"/>
              <w14:checkedState w14:val="2612" w14:font="MS Gothic"/>
              <w14:uncheckedState w14:val="2610" w14:font="MS Gothic"/>
            </w14:checkbox>
          </w:sdtPr>
          <w:sdtEndPr/>
          <w:sdtContent>
            <w:tc>
              <w:tcPr>
                <w:tcW w:w="811" w:type="dxa"/>
              </w:tcPr>
              <w:p w14:paraId="2F430FDF" w14:textId="77777777" w:rsidR="008A4500" w:rsidRDefault="008A4500" w:rsidP="008A4500">
                <w:pPr>
                  <w:pStyle w:val="Tabellentextstandardkleinlinksbndig"/>
                </w:pPr>
                <w:r>
                  <w:rPr>
                    <w:rFonts w:ascii="MS Gothic" w:eastAsia="MS Gothic" w:hAnsi="MS Gothic" w:hint="eastAsia"/>
                  </w:rPr>
                  <w:t>☐</w:t>
                </w:r>
              </w:p>
            </w:tc>
          </w:sdtContent>
        </w:sdt>
      </w:tr>
      <w:tr w:rsidR="008A4500" w14:paraId="47A7D9CF" w14:textId="77777777" w:rsidTr="008A4500">
        <w:trPr>
          <w:trHeight w:val="576"/>
        </w:trPr>
        <w:tc>
          <w:tcPr>
            <w:tcW w:w="1011" w:type="dxa"/>
          </w:tcPr>
          <w:p w14:paraId="22F42FBD" w14:textId="6325A637" w:rsidR="008A4500" w:rsidRDefault="008A4500" w:rsidP="008A4500">
            <w:pPr>
              <w:pStyle w:val="Tabellentextstandardkleinlinksbndig"/>
            </w:pPr>
            <w:r w:rsidRPr="007F75F6">
              <w:rPr>
                <w:lang w:val="en-GB"/>
              </w:rPr>
              <w:t>3.6</w:t>
            </w:r>
          </w:p>
        </w:tc>
        <w:tc>
          <w:tcPr>
            <w:tcW w:w="1386" w:type="dxa"/>
          </w:tcPr>
          <w:p w14:paraId="0CD82846" w14:textId="1495F5D9" w:rsidR="008A4500" w:rsidRDefault="008A4500" w:rsidP="008A4500">
            <w:pPr>
              <w:pStyle w:val="Tabellentextstandardkleinlinksbndig"/>
            </w:pPr>
            <w:r w:rsidRPr="007F75F6">
              <w:rPr>
                <w:lang w:val="en-GB"/>
              </w:rPr>
              <w:t>3.2.4</w:t>
            </w:r>
          </w:p>
        </w:tc>
        <w:tc>
          <w:tcPr>
            <w:tcW w:w="1756" w:type="dxa"/>
          </w:tcPr>
          <w:p w14:paraId="5B8DCB43" w14:textId="5C5D32E5" w:rsidR="008A450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69BBAE44" w14:textId="1E4F7292" w:rsidR="008A4500" w:rsidRDefault="008A4500" w:rsidP="008A4500">
            <w:pPr>
              <w:pStyle w:val="Tabellentextstandardkleinlinksbndig"/>
            </w:pPr>
            <w:r w:rsidRPr="007F75F6">
              <w:rPr>
                <w:lang w:val="en-GB"/>
              </w:rPr>
              <w:t>Verification of renewable energies</w:t>
            </w:r>
          </w:p>
        </w:tc>
        <w:sdt>
          <w:sdtPr>
            <w:id w:val="-749350304"/>
            <w14:checkbox>
              <w14:checked w14:val="0"/>
              <w14:checkedState w14:val="2612" w14:font="MS Gothic"/>
              <w14:uncheckedState w14:val="2610" w14:font="MS Gothic"/>
            </w14:checkbox>
          </w:sdtPr>
          <w:sdtEndPr/>
          <w:sdtContent>
            <w:tc>
              <w:tcPr>
                <w:tcW w:w="811" w:type="dxa"/>
              </w:tcPr>
              <w:p w14:paraId="60195A3E" w14:textId="77777777" w:rsidR="008A4500" w:rsidRDefault="008A4500" w:rsidP="008A4500">
                <w:pPr>
                  <w:pStyle w:val="Tabellentextstandardkleinlinksbndig"/>
                </w:pPr>
                <w:r>
                  <w:rPr>
                    <w:rFonts w:ascii="MS Gothic" w:eastAsia="MS Gothic" w:hAnsi="MS Gothic" w:hint="eastAsia"/>
                  </w:rPr>
                  <w:t>☐</w:t>
                </w:r>
              </w:p>
            </w:tc>
          </w:sdtContent>
        </w:sdt>
      </w:tr>
      <w:tr w:rsidR="008A4500" w14:paraId="2170EE4E" w14:textId="77777777" w:rsidTr="008A4500">
        <w:trPr>
          <w:trHeight w:val="576"/>
        </w:trPr>
        <w:tc>
          <w:tcPr>
            <w:tcW w:w="1011" w:type="dxa"/>
          </w:tcPr>
          <w:p w14:paraId="0D5BB983" w14:textId="1B581270" w:rsidR="008A4500" w:rsidRDefault="008A4500" w:rsidP="008A4500">
            <w:pPr>
              <w:pStyle w:val="Tabellentextstandardkleinlinksbndig"/>
            </w:pPr>
            <w:r w:rsidRPr="007F75F6">
              <w:rPr>
                <w:lang w:val="en-GB"/>
              </w:rPr>
              <w:t>3.7</w:t>
            </w:r>
          </w:p>
        </w:tc>
        <w:tc>
          <w:tcPr>
            <w:tcW w:w="1386" w:type="dxa"/>
          </w:tcPr>
          <w:p w14:paraId="12E88BDE" w14:textId="40CF48DC" w:rsidR="008A4500" w:rsidRDefault="008A4500" w:rsidP="008A4500">
            <w:pPr>
              <w:pStyle w:val="Tabellentextstandardkleinlinksbndig"/>
            </w:pPr>
            <w:r w:rsidRPr="007F75F6">
              <w:rPr>
                <w:lang w:val="en-GB"/>
              </w:rPr>
              <w:t>3.2.6.1</w:t>
            </w:r>
          </w:p>
        </w:tc>
        <w:tc>
          <w:tcPr>
            <w:tcW w:w="1756" w:type="dxa"/>
          </w:tcPr>
          <w:p w14:paraId="7E4A7CBE" w14:textId="6C492DAA" w:rsidR="008A4500" w:rsidRPr="00955BAE"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0AA06E9A" w14:textId="4800B077" w:rsidR="008A4500" w:rsidRDefault="008A4500" w:rsidP="008A4500">
            <w:pPr>
              <w:pStyle w:val="Tabellentextstandardkleinlinksbndig"/>
            </w:pPr>
            <w:r w:rsidRPr="007F75F6">
              <w:rPr>
                <w:lang w:val="en-GB"/>
              </w:rPr>
              <w:t>Customer information</w:t>
            </w:r>
          </w:p>
        </w:tc>
        <w:sdt>
          <w:sdtPr>
            <w:id w:val="428626553"/>
            <w14:checkbox>
              <w14:checked w14:val="0"/>
              <w14:checkedState w14:val="2612" w14:font="MS Gothic"/>
              <w14:uncheckedState w14:val="2610" w14:font="MS Gothic"/>
            </w14:checkbox>
          </w:sdtPr>
          <w:sdtEndPr/>
          <w:sdtContent>
            <w:tc>
              <w:tcPr>
                <w:tcW w:w="811" w:type="dxa"/>
              </w:tcPr>
              <w:p w14:paraId="47BFBAE0" w14:textId="77777777" w:rsidR="008A4500" w:rsidRDefault="008A4500" w:rsidP="008A4500">
                <w:pPr>
                  <w:pStyle w:val="Tabellentextstandardkleinlinksbndig"/>
                </w:pPr>
                <w:r>
                  <w:rPr>
                    <w:rFonts w:ascii="MS Gothic" w:eastAsia="MS Gothic" w:hAnsi="MS Gothic" w:hint="eastAsia"/>
                  </w:rPr>
                  <w:t>☐</w:t>
                </w:r>
              </w:p>
            </w:tc>
          </w:sdtContent>
        </w:sdt>
      </w:tr>
      <w:tr w:rsidR="008A4500" w14:paraId="720A13E1" w14:textId="77777777" w:rsidTr="008A4500">
        <w:trPr>
          <w:trHeight w:val="576"/>
        </w:trPr>
        <w:tc>
          <w:tcPr>
            <w:tcW w:w="1011" w:type="dxa"/>
          </w:tcPr>
          <w:p w14:paraId="0472F264" w14:textId="5E80DD83" w:rsidR="008A4500" w:rsidRDefault="008A4500" w:rsidP="008A4500">
            <w:pPr>
              <w:pStyle w:val="Tabellentextstandardkleinlinksbndig"/>
            </w:pPr>
            <w:r w:rsidRPr="007F75F6">
              <w:rPr>
                <w:lang w:val="en-GB"/>
              </w:rPr>
              <w:t>3.8</w:t>
            </w:r>
          </w:p>
        </w:tc>
        <w:tc>
          <w:tcPr>
            <w:tcW w:w="1386" w:type="dxa"/>
          </w:tcPr>
          <w:p w14:paraId="48C9A7D1" w14:textId="011DE62A" w:rsidR="008A4500" w:rsidRDefault="008A4500" w:rsidP="008A4500">
            <w:pPr>
              <w:pStyle w:val="Tabellentextstandardkleinlinksbndig"/>
            </w:pPr>
            <w:r w:rsidRPr="007F75F6">
              <w:rPr>
                <w:lang w:val="en-GB"/>
              </w:rPr>
              <w:t>3.2.6.3</w:t>
            </w:r>
          </w:p>
        </w:tc>
        <w:tc>
          <w:tcPr>
            <w:tcW w:w="1756" w:type="dxa"/>
          </w:tcPr>
          <w:p w14:paraId="7B37CD52" w14:textId="4E980AA7" w:rsidR="008A450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26CCBF2C" w14:textId="02BEFD13" w:rsidR="008A4500" w:rsidRDefault="008A4500" w:rsidP="008A4500">
            <w:pPr>
              <w:pStyle w:val="Tabellentextstandardkleinlinksbndig"/>
            </w:pPr>
            <w:r w:rsidRPr="007F75F6">
              <w:rPr>
                <w:lang w:val="en-GB"/>
              </w:rPr>
              <w:t>Advisory services for improving energy efficiency</w:t>
            </w:r>
          </w:p>
        </w:tc>
        <w:sdt>
          <w:sdtPr>
            <w:id w:val="898549689"/>
            <w14:checkbox>
              <w14:checked w14:val="0"/>
              <w14:checkedState w14:val="2612" w14:font="MS Gothic"/>
              <w14:uncheckedState w14:val="2610" w14:font="MS Gothic"/>
            </w14:checkbox>
          </w:sdtPr>
          <w:sdtEndPr/>
          <w:sdtContent>
            <w:tc>
              <w:tcPr>
                <w:tcW w:w="811" w:type="dxa"/>
              </w:tcPr>
              <w:p w14:paraId="17CEC28B" w14:textId="77777777" w:rsidR="008A4500" w:rsidRDefault="008A4500" w:rsidP="008A4500">
                <w:pPr>
                  <w:pStyle w:val="Tabellentextstandardkleinlinksbndig"/>
                </w:pPr>
                <w:r>
                  <w:rPr>
                    <w:rFonts w:ascii="MS Gothic" w:eastAsia="MS Gothic" w:hAnsi="MS Gothic" w:hint="eastAsia"/>
                  </w:rPr>
                  <w:t>☐</w:t>
                </w:r>
              </w:p>
            </w:tc>
          </w:sdtContent>
        </w:sdt>
      </w:tr>
      <w:tr w:rsidR="008A4500" w14:paraId="51C4C5FF" w14:textId="77777777" w:rsidTr="008A4500">
        <w:trPr>
          <w:trHeight w:val="576"/>
        </w:trPr>
        <w:tc>
          <w:tcPr>
            <w:tcW w:w="1011" w:type="dxa"/>
          </w:tcPr>
          <w:p w14:paraId="07A98039" w14:textId="2944278E" w:rsidR="008A4500" w:rsidRDefault="008A4500" w:rsidP="008A4500">
            <w:pPr>
              <w:pStyle w:val="Tabellentextstandardkleinlinksbndig"/>
            </w:pPr>
            <w:r w:rsidRPr="007F75F6">
              <w:rPr>
                <w:lang w:val="en-GB"/>
              </w:rPr>
              <w:t>3.9</w:t>
            </w:r>
          </w:p>
        </w:tc>
        <w:tc>
          <w:tcPr>
            <w:tcW w:w="1386" w:type="dxa"/>
          </w:tcPr>
          <w:p w14:paraId="0CA8CA53" w14:textId="5372746A" w:rsidR="008A4500" w:rsidRDefault="008A4500" w:rsidP="008A4500">
            <w:pPr>
              <w:pStyle w:val="Tabellentextstandardkleinlinksbndig"/>
            </w:pPr>
            <w:r w:rsidRPr="007F75F6">
              <w:rPr>
                <w:lang w:val="en-GB"/>
              </w:rPr>
              <w:t>3.2.7, 3.2.8</w:t>
            </w:r>
          </w:p>
        </w:tc>
        <w:tc>
          <w:tcPr>
            <w:tcW w:w="1756" w:type="dxa"/>
          </w:tcPr>
          <w:p w14:paraId="42668DCC" w14:textId="47D9D4AD" w:rsidR="008A4500"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735A9510" w14:textId="24237178" w:rsidR="008A4500" w:rsidRPr="001D2D27" w:rsidRDefault="008A4500" w:rsidP="008A4500">
            <w:pPr>
              <w:pStyle w:val="Tabellentextstandardkleinlinksbndig"/>
            </w:pPr>
            <w:r w:rsidRPr="007F75F6">
              <w:rPr>
                <w:lang w:val="en-GB"/>
              </w:rPr>
              <w:t>Calculation of the key performance indicators</w:t>
            </w:r>
          </w:p>
        </w:tc>
        <w:sdt>
          <w:sdtPr>
            <w:id w:val="1542332152"/>
            <w14:checkbox>
              <w14:checked w14:val="0"/>
              <w14:checkedState w14:val="2612" w14:font="MS Gothic"/>
              <w14:uncheckedState w14:val="2610" w14:font="MS Gothic"/>
            </w14:checkbox>
          </w:sdtPr>
          <w:sdtEndPr/>
          <w:sdtContent>
            <w:tc>
              <w:tcPr>
                <w:tcW w:w="811" w:type="dxa"/>
              </w:tcPr>
              <w:p w14:paraId="75156B5D" w14:textId="77777777" w:rsidR="008A4500" w:rsidRDefault="008A4500" w:rsidP="008A4500">
                <w:pPr>
                  <w:pStyle w:val="Tabellentextstandardkleinlinksbndig"/>
                </w:pPr>
                <w:r>
                  <w:rPr>
                    <w:rFonts w:ascii="MS Gothic" w:eastAsia="MS Gothic" w:hAnsi="MS Gothic" w:hint="eastAsia"/>
                  </w:rPr>
                  <w:t>☐</w:t>
                </w:r>
              </w:p>
            </w:tc>
          </w:sdtContent>
        </w:sdt>
      </w:tr>
      <w:tr w:rsidR="008A4500" w14:paraId="4C55FF53" w14:textId="77777777" w:rsidTr="008A4500">
        <w:trPr>
          <w:trHeight w:val="591"/>
        </w:trPr>
        <w:tc>
          <w:tcPr>
            <w:tcW w:w="1011" w:type="dxa"/>
          </w:tcPr>
          <w:p w14:paraId="04ECA12E" w14:textId="600D6691" w:rsidR="008A4500" w:rsidRDefault="008A4500" w:rsidP="008A4500">
            <w:pPr>
              <w:pStyle w:val="Tabellentextstandardkleinlinksbndig"/>
            </w:pPr>
            <w:r w:rsidRPr="007F75F6">
              <w:rPr>
                <w:lang w:val="en-GB"/>
              </w:rPr>
              <w:t>3.10</w:t>
            </w:r>
          </w:p>
        </w:tc>
        <w:tc>
          <w:tcPr>
            <w:tcW w:w="1386" w:type="dxa"/>
          </w:tcPr>
          <w:p w14:paraId="04F01783" w14:textId="03C5D93F" w:rsidR="008A4500" w:rsidRDefault="008A4500" w:rsidP="008A4500">
            <w:pPr>
              <w:pStyle w:val="Tabellentextstandardkleinlinksbndig"/>
            </w:pPr>
            <w:r w:rsidRPr="007F75F6">
              <w:rPr>
                <w:lang w:val="en-GB"/>
              </w:rPr>
              <w:t>3.2.10</w:t>
            </w:r>
          </w:p>
        </w:tc>
        <w:tc>
          <w:tcPr>
            <w:tcW w:w="1756" w:type="dxa"/>
          </w:tcPr>
          <w:p w14:paraId="09C2C01B" w14:textId="2A7D3149" w:rsidR="008A4500" w:rsidRPr="00955BAE" w:rsidRDefault="008A4500" w:rsidP="008A4500">
            <w:pPr>
              <w:pStyle w:val="Tabellentextstandardkleinlinksbndig"/>
            </w:pPr>
            <w:r w:rsidRPr="007F75F6">
              <w:rPr>
                <w:lang w:val="en-GB"/>
              </w:rPr>
              <w:t xml:space="preserve">Data </w:t>
            </w:r>
            <w:proofErr w:type="spellStart"/>
            <w:r w:rsidRPr="007F75F6">
              <w:rPr>
                <w:lang w:val="en-GB"/>
              </w:rPr>
              <w:t>center</w:t>
            </w:r>
            <w:proofErr w:type="spellEnd"/>
            <w:r w:rsidRPr="007F75F6">
              <w:rPr>
                <w:lang w:val="en-GB"/>
              </w:rPr>
              <w:t xml:space="preserve"> operator</w:t>
            </w:r>
          </w:p>
        </w:tc>
        <w:tc>
          <w:tcPr>
            <w:tcW w:w="4347" w:type="dxa"/>
          </w:tcPr>
          <w:p w14:paraId="0F50722D" w14:textId="516D4A87" w:rsidR="008A4500" w:rsidRDefault="008A4500" w:rsidP="008A4500">
            <w:pPr>
              <w:pStyle w:val="Tabellentextstandardkleinlinksbndig"/>
            </w:pPr>
            <w:r w:rsidRPr="007F75F6">
              <w:rPr>
                <w:lang w:val="en-GB"/>
              </w:rPr>
              <w:t>Use of waste heat</w:t>
            </w:r>
          </w:p>
        </w:tc>
        <w:sdt>
          <w:sdtPr>
            <w:id w:val="1468016294"/>
            <w14:checkbox>
              <w14:checked w14:val="0"/>
              <w14:checkedState w14:val="2612" w14:font="MS Gothic"/>
              <w14:uncheckedState w14:val="2610" w14:font="MS Gothic"/>
            </w14:checkbox>
          </w:sdtPr>
          <w:sdtEndPr/>
          <w:sdtContent>
            <w:tc>
              <w:tcPr>
                <w:tcW w:w="811" w:type="dxa"/>
              </w:tcPr>
              <w:p w14:paraId="1C38DBD3" w14:textId="77777777" w:rsidR="008A4500" w:rsidRDefault="008A4500" w:rsidP="008A4500">
                <w:pPr>
                  <w:pStyle w:val="Tabellentextstandardkleinlinksbndig"/>
                </w:pPr>
                <w:r>
                  <w:rPr>
                    <w:rFonts w:ascii="MS Gothic" w:eastAsia="MS Gothic" w:hAnsi="MS Gothic" w:hint="eastAsia"/>
                  </w:rPr>
                  <w:t>☐</w:t>
                </w:r>
              </w:p>
            </w:tc>
          </w:sdtContent>
        </w:sdt>
      </w:tr>
      <w:tr w:rsidR="008A4500" w14:paraId="6AF052B6" w14:textId="77777777" w:rsidTr="008A4500">
        <w:trPr>
          <w:trHeight w:val="591"/>
        </w:trPr>
        <w:tc>
          <w:tcPr>
            <w:tcW w:w="1011" w:type="dxa"/>
          </w:tcPr>
          <w:p w14:paraId="1A30EC8B" w14:textId="3362905C" w:rsidR="008A4500" w:rsidRDefault="008A4500" w:rsidP="008A4500">
            <w:pPr>
              <w:pStyle w:val="Tabellentextstandardkleinlinksbndig"/>
            </w:pPr>
            <w:r w:rsidRPr="007F75F6">
              <w:rPr>
                <w:lang w:val="en-GB"/>
              </w:rPr>
              <w:t>4.1</w:t>
            </w:r>
          </w:p>
        </w:tc>
        <w:tc>
          <w:tcPr>
            <w:tcW w:w="1386" w:type="dxa"/>
          </w:tcPr>
          <w:p w14:paraId="61EF5EB8" w14:textId="757259F5" w:rsidR="008A4500" w:rsidRDefault="008A4500" w:rsidP="008A4500">
            <w:pPr>
              <w:pStyle w:val="Tabellentextstandardkleinlinksbndig"/>
            </w:pPr>
            <w:r w:rsidRPr="007F75F6">
              <w:rPr>
                <w:lang w:val="en-GB"/>
              </w:rPr>
              <w:t>3.3.1</w:t>
            </w:r>
          </w:p>
        </w:tc>
        <w:tc>
          <w:tcPr>
            <w:tcW w:w="1756" w:type="dxa"/>
          </w:tcPr>
          <w:p w14:paraId="3711AAF6" w14:textId="63BD422D" w:rsidR="008A4500" w:rsidRDefault="008A4500" w:rsidP="008A4500">
            <w:pPr>
              <w:pStyle w:val="Tabellentextstandardkleinlinksbndig"/>
            </w:pPr>
            <w:r w:rsidRPr="007F75F6">
              <w:rPr>
                <w:lang w:val="en-GB"/>
              </w:rPr>
              <w:t>IT operator</w:t>
            </w:r>
          </w:p>
        </w:tc>
        <w:tc>
          <w:tcPr>
            <w:tcW w:w="4347" w:type="dxa"/>
          </w:tcPr>
          <w:p w14:paraId="3BD86B58" w14:textId="23511360" w:rsidR="008A4500" w:rsidRPr="00955BAE" w:rsidRDefault="008A4500" w:rsidP="008A4500">
            <w:pPr>
              <w:pStyle w:val="Tabellentextstandardkleinlinksbndig"/>
            </w:pPr>
            <w:r w:rsidRPr="007F75F6">
              <w:rPr>
                <w:lang w:val="en-GB"/>
              </w:rPr>
              <w:t>IT inventory list</w:t>
            </w:r>
          </w:p>
        </w:tc>
        <w:sdt>
          <w:sdtPr>
            <w:id w:val="58144417"/>
            <w14:checkbox>
              <w14:checked w14:val="0"/>
              <w14:checkedState w14:val="2612" w14:font="MS Gothic"/>
              <w14:uncheckedState w14:val="2610" w14:font="MS Gothic"/>
            </w14:checkbox>
          </w:sdtPr>
          <w:sdtEndPr/>
          <w:sdtContent>
            <w:tc>
              <w:tcPr>
                <w:tcW w:w="811" w:type="dxa"/>
              </w:tcPr>
              <w:p w14:paraId="789AEFD9" w14:textId="77777777" w:rsidR="008A4500" w:rsidRDefault="008A4500" w:rsidP="008A4500">
                <w:pPr>
                  <w:pStyle w:val="Tabellentextstandardkleinlinksbndig"/>
                </w:pPr>
                <w:r>
                  <w:rPr>
                    <w:rFonts w:ascii="MS Gothic" w:eastAsia="MS Gothic" w:hAnsi="MS Gothic" w:hint="eastAsia"/>
                  </w:rPr>
                  <w:t>☐</w:t>
                </w:r>
              </w:p>
            </w:tc>
          </w:sdtContent>
        </w:sdt>
      </w:tr>
      <w:tr w:rsidR="008A4500" w14:paraId="315F7D87" w14:textId="77777777" w:rsidTr="008A4500">
        <w:trPr>
          <w:trHeight w:val="591"/>
        </w:trPr>
        <w:tc>
          <w:tcPr>
            <w:tcW w:w="1011" w:type="dxa"/>
          </w:tcPr>
          <w:p w14:paraId="20A20C20" w14:textId="3F6ACEC2" w:rsidR="008A4500" w:rsidRDefault="008A4500" w:rsidP="008A4500">
            <w:pPr>
              <w:pStyle w:val="Tabellentextstandardkleinlinksbndig"/>
            </w:pPr>
            <w:r w:rsidRPr="007F75F6">
              <w:rPr>
                <w:lang w:val="en-GB"/>
              </w:rPr>
              <w:t>4.2</w:t>
            </w:r>
          </w:p>
        </w:tc>
        <w:tc>
          <w:tcPr>
            <w:tcW w:w="1386" w:type="dxa"/>
          </w:tcPr>
          <w:p w14:paraId="03B7F2C8" w14:textId="0AC8DE08" w:rsidR="008A4500" w:rsidRDefault="008A4500" w:rsidP="008A4500">
            <w:pPr>
              <w:pStyle w:val="Tabellentextstandardkleinlinksbndig"/>
            </w:pPr>
            <w:r w:rsidRPr="007F75F6">
              <w:rPr>
                <w:lang w:val="en-GB"/>
              </w:rPr>
              <w:t>3.3.2</w:t>
            </w:r>
          </w:p>
        </w:tc>
        <w:tc>
          <w:tcPr>
            <w:tcW w:w="1756" w:type="dxa"/>
          </w:tcPr>
          <w:p w14:paraId="42E99D40" w14:textId="63D469B0" w:rsidR="008A4500" w:rsidRDefault="008A4500" w:rsidP="008A4500">
            <w:pPr>
              <w:pStyle w:val="Tabellentextstandardkleinlinksbndig"/>
            </w:pPr>
            <w:r w:rsidRPr="007F75F6">
              <w:rPr>
                <w:lang w:val="en-GB"/>
              </w:rPr>
              <w:t>IT operator</w:t>
            </w:r>
          </w:p>
        </w:tc>
        <w:tc>
          <w:tcPr>
            <w:tcW w:w="4347" w:type="dxa"/>
          </w:tcPr>
          <w:p w14:paraId="17427BBE" w14:textId="56E6760C" w:rsidR="008A4500" w:rsidRPr="00955BAE" w:rsidRDefault="008A4500" w:rsidP="008A4500">
            <w:pPr>
              <w:pStyle w:val="Tabellentextstandardkleinlinksbndig"/>
            </w:pPr>
            <w:r w:rsidRPr="007F75F6">
              <w:rPr>
                <w:lang w:val="en-GB"/>
              </w:rPr>
              <w:t>Monitoring the IT load</w:t>
            </w:r>
          </w:p>
        </w:tc>
        <w:sdt>
          <w:sdtPr>
            <w:id w:val="403106732"/>
            <w14:checkbox>
              <w14:checked w14:val="0"/>
              <w14:checkedState w14:val="2612" w14:font="MS Gothic"/>
              <w14:uncheckedState w14:val="2610" w14:font="MS Gothic"/>
            </w14:checkbox>
          </w:sdtPr>
          <w:sdtEndPr/>
          <w:sdtContent>
            <w:tc>
              <w:tcPr>
                <w:tcW w:w="811" w:type="dxa"/>
              </w:tcPr>
              <w:p w14:paraId="6C91D32E" w14:textId="77777777" w:rsidR="008A4500" w:rsidRDefault="008A4500" w:rsidP="008A4500">
                <w:pPr>
                  <w:pStyle w:val="Tabellentextstandardkleinlinksbndig"/>
                </w:pPr>
                <w:r>
                  <w:rPr>
                    <w:rFonts w:ascii="MS Gothic" w:eastAsia="MS Gothic" w:hAnsi="MS Gothic" w:hint="eastAsia"/>
                  </w:rPr>
                  <w:t>☐</w:t>
                </w:r>
              </w:p>
            </w:tc>
          </w:sdtContent>
        </w:sdt>
      </w:tr>
      <w:tr w:rsidR="008A4500" w14:paraId="413DF759" w14:textId="77777777" w:rsidTr="008A4500">
        <w:trPr>
          <w:trHeight w:val="591"/>
        </w:trPr>
        <w:tc>
          <w:tcPr>
            <w:tcW w:w="1011" w:type="dxa"/>
          </w:tcPr>
          <w:p w14:paraId="375F7A96" w14:textId="08AACCB7" w:rsidR="008A4500" w:rsidRDefault="008A4500" w:rsidP="008A4500">
            <w:pPr>
              <w:pStyle w:val="Tabellentextstandardkleinlinksbndig"/>
            </w:pPr>
            <w:r w:rsidRPr="007F75F6">
              <w:rPr>
                <w:lang w:val="en-GB"/>
              </w:rPr>
              <w:t>4.3</w:t>
            </w:r>
          </w:p>
        </w:tc>
        <w:tc>
          <w:tcPr>
            <w:tcW w:w="1386" w:type="dxa"/>
          </w:tcPr>
          <w:p w14:paraId="64EE9E76" w14:textId="0AEF16D5" w:rsidR="008A4500" w:rsidRDefault="008A4500" w:rsidP="008A4500">
            <w:pPr>
              <w:pStyle w:val="Tabellentextstandardkleinlinksbndig"/>
            </w:pPr>
            <w:r w:rsidRPr="007F75F6">
              <w:rPr>
                <w:lang w:val="en-GB"/>
              </w:rPr>
              <w:t>3.3.3</w:t>
            </w:r>
          </w:p>
        </w:tc>
        <w:tc>
          <w:tcPr>
            <w:tcW w:w="1756" w:type="dxa"/>
          </w:tcPr>
          <w:p w14:paraId="31420A22" w14:textId="1B1862E4" w:rsidR="008A4500" w:rsidRDefault="008A4500" w:rsidP="008A4500">
            <w:pPr>
              <w:pStyle w:val="Tabellentextstandardkleinlinksbndig"/>
            </w:pPr>
            <w:r w:rsidRPr="007F75F6">
              <w:rPr>
                <w:lang w:val="en-GB"/>
              </w:rPr>
              <w:t>IT operator</w:t>
            </w:r>
          </w:p>
        </w:tc>
        <w:tc>
          <w:tcPr>
            <w:tcW w:w="4347" w:type="dxa"/>
          </w:tcPr>
          <w:p w14:paraId="4D8B7818" w14:textId="5663C50E" w:rsidR="008A4500" w:rsidRPr="00955BAE" w:rsidRDefault="008A4500" w:rsidP="008A4500">
            <w:pPr>
              <w:pStyle w:val="Tabellentextstandardkleinlinksbndig"/>
            </w:pPr>
            <w:r w:rsidRPr="007F75F6">
              <w:rPr>
                <w:lang w:val="en-GB"/>
              </w:rPr>
              <w:t>Datasets of average monthly values for the minimum utilisation of servers</w:t>
            </w:r>
          </w:p>
        </w:tc>
        <w:sdt>
          <w:sdtPr>
            <w:id w:val="-1889878472"/>
            <w14:checkbox>
              <w14:checked w14:val="0"/>
              <w14:checkedState w14:val="2612" w14:font="MS Gothic"/>
              <w14:uncheckedState w14:val="2610" w14:font="MS Gothic"/>
            </w14:checkbox>
          </w:sdtPr>
          <w:sdtEndPr/>
          <w:sdtContent>
            <w:tc>
              <w:tcPr>
                <w:tcW w:w="811" w:type="dxa"/>
              </w:tcPr>
              <w:p w14:paraId="7A8AFDF7" w14:textId="77777777" w:rsidR="008A4500" w:rsidRDefault="008A4500" w:rsidP="008A4500">
                <w:pPr>
                  <w:pStyle w:val="Tabellentextstandardkleinlinksbndig"/>
                </w:pPr>
                <w:r>
                  <w:rPr>
                    <w:rFonts w:ascii="MS Gothic" w:eastAsia="MS Gothic" w:hAnsi="MS Gothic" w:hint="eastAsia"/>
                  </w:rPr>
                  <w:t>☐</w:t>
                </w:r>
              </w:p>
            </w:tc>
          </w:sdtContent>
        </w:sdt>
      </w:tr>
      <w:tr w:rsidR="008A4500" w14:paraId="6BD5B532" w14:textId="77777777" w:rsidTr="008A4500">
        <w:trPr>
          <w:trHeight w:val="591"/>
        </w:trPr>
        <w:tc>
          <w:tcPr>
            <w:tcW w:w="1011" w:type="dxa"/>
          </w:tcPr>
          <w:p w14:paraId="0146ECAC" w14:textId="22AF45F9" w:rsidR="008A4500" w:rsidRDefault="008A4500" w:rsidP="008A4500">
            <w:pPr>
              <w:pStyle w:val="Tabellentextstandardkleinlinksbndig"/>
            </w:pPr>
            <w:r w:rsidRPr="007F75F6">
              <w:rPr>
                <w:lang w:val="en-GB"/>
              </w:rPr>
              <w:t>4.4</w:t>
            </w:r>
          </w:p>
        </w:tc>
        <w:tc>
          <w:tcPr>
            <w:tcW w:w="1386" w:type="dxa"/>
          </w:tcPr>
          <w:p w14:paraId="18F24613" w14:textId="09BCF410" w:rsidR="008A4500" w:rsidRDefault="008A4500" w:rsidP="008A4500">
            <w:pPr>
              <w:pStyle w:val="Tabellentextstandardkleinlinksbndig"/>
            </w:pPr>
            <w:r w:rsidRPr="007F75F6">
              <w:rPr>
                <w:lang w:val="en-GB"/>
              </w:rPr>
              <w:t>3.3.4</w:t>
            </w:r>
          </w:p>
        </w:tc>
        <w:tc>
          <w:tcPr>
            <w:tcW w:w="1756" w:type="dxa"/>
          </w:tcPr>
          <w:p w14:paraId="2176F43D" w14:textId="5F538B58" w:rsidR="008A4500" w:rsidRPr="001A2CCB" w:rsidRDefault="008A4500" w:rsidP="008A4500">
            <w:pPr>
              <w:pStyle w:val="Tabellentextstandardkleinlinksbndig"/>
            </w:pPr>
            <w:r w:rsidRPr="007F75F6">
              <w:rPr>
                <w:lang w:val="en-GB"/>
              </w:rPr>
              <w:t>IT operator</w:t>
            </w:r>
          </w:p>
        </w:tc>
        <w:tc>
          <w:tcPr>
            <w:tcW w:w="4347" w:type="dxa"/>
          </w:tcPr>
          <w:p w14:paraId="6B848304" w14:textId="10F6C7C8" w:rsidR="008A4500" w:rsidRDefault="008A4500" w:rsidP="008A4500">
            <w:pPr>
              <w:pStyle w:val="Tabellentextstandardkleinlinksbndig"/>
            </w:pPr>
            <w:r w:rsidRPr="007F75F6">
              <w:rPr>
                <w:lang w:val="en-GB"/>
              </w:rPr>
              <w:t>Documentation of the process for the secure deletion of data and the agreement with the refurbishing company</w:t>
            </w:r>
          </w:p>
        </w:tc>
        <w:sdt>
          <w:sdtPr>
            <w:id w:val="-645504428"/>
            <w14:checkbox>
              <w14:checked w14:val="0"/>
              <w14:checkedState w14:val="2612" w14:font="MS Gothic"/>
              <w14:uncheckedState w14:val="2610" w14:font="MS Gothic"/>
            </w14:checkbox>
          </w:sdtPr>
          <w:sdtEndPr/>
          <w:sdtContent>
            <w:tc>
              <w:tcPr>
                <w:tcW w:w="811" w:type="dxa"/>
              </w:tcPr>
              <w:p w14:paraId="55A31126" w14:textId="77777777" w:rsidR="008A4500" w:rsidRDefault="008A4500" w:rsidP="008A4500">
                <w:pPr>
                  <w:pStyle w:val="Tabellentextstandardkleinlinksbndig"/>
                </w:pPr>
                <w:r>
                  <w:rPr>
                    <w:rFonts w:ascii="MS Gothic" w:eastAsia="MS Gothic" w:hAnsi="MS Gothic" w:hint="eastAsia"/>
                  </w:rPr>
                  <w:t>☐</w:t>
                </w:r>
              </w:p>
            </w:tc>
          </w:sdtContent>
        </w:sdt>
      </w:tr>
      <w:tr w:rsidR="008A4500" w14:paraId="7C124C6A" w14:textId="77777777" w:rsidTr="008A4500">
        <w:trPr>
          <w:trHeight w:val="591"/>
        </w:trPr>
        <w:tc>
          <w:tcPr>
            <w:tcW w:w="1011" w:type="dxa"/>
          </w:tcPr>
          <w:p w14:paraId="00952991" w14:textId="4C151605" w:rsidR="008A4500" w:rsidRDefault="008A4500" w:rsidP="008A4500">
            <w:pPr>
              <w:pStyle w:val="Tabellentextstandardkleinlinksbndig"/>
            </w:pPr>
            <w:r w:rsidRPr="007F75F6">
              <w:rPr>
                <w:lang w:val="en-GB"/>
              </w:rPr>
              <w:t>5</w:t>
            </w:r>
          </w:p>
        </w:tc>
        <w:tc>
          <w:tcPr>
            <w:tcW w:w="1386" w:type="dxa"/>
          </w:tcPr>
          <w:p w14:paraId="75685073" w14:textId="2EA0F6C9" w:rsidR="008A4500" w:rsidRDefault="008A4500" w:rsidP="008A4500">
            <w:pPr>
              <w:pStyle w:val="Tabellentextstandardkleinlinksbndig"/>
            </w:pPr>
            <w:r w:rsidRPr="007F75F6">
              <w:rPr>
                <w:lang w:val="en-GB"/>
              </w:rPr>
              <w:t>1</w:t>
            </w:r>
          </w:p>
        </w:tc>
        <w:tc>
          <w:tcPr>
            <w:tcW w:w="1756" w:type="dxa"/>
          </w:tcPr>
          <w:p w14:paraId="3DE3557F" w14:textId="568208A1" w:rsidR="008A4500" w:rsidRDefault="008A4500" w:rsidP="008A4500">
            <w:pPr>
              <w:pStyle w:val="Tabellentextstandardkleinlinksbndig"/>
            </w:pPr>
            <w:r w:rsidRPr="007F75F6">
              <w:rPr>
                <w:lang w:val="en-GB"/>
              </w:rPr>
              <w:t>All</w:t>
            </w:r>
          </w:p>
        </w:tc>
        <w:tc>
          <w:tcPr>
            <w:tcW w:w="4347" w:type="dxa"/>
          </w:tcPr>
          <w:p w14:paraId="5553C8F8" w14:textId="57CA0C04" w:rsidR="008A4500" w:rsidRPr="001A2CCB" w:rsidRDefault="008A4500" w:rsidP="008A4500">
            <w:pPr>
              <w:pStyle w:val="Tabellentextstandardkleinlinksbndig"/>
            </w:pPr>
            <w:r w:rsidRPr="007F75F6">
              <w:rPr>
                <w:lang w:val="en-GB"/>
              </w:rPr>
              <w:t>Audit report</w:t>
            </w:r>
          </w:p>
        </w:tc>
        <w:sdt>
          <w:sdtPr>
            <w:id w:val="-1776551237"/>
            <w14:checkbox>
              <w14:checked w14:val="0"/>
              <w14:checkedState w14:val="2612" w14:font="MS Gothic"/>
              <w14:uncheckedState w14:val="2610" w14:font="MS Gothic"/>
            </w14:checkbox>
          </w:sdtPr>
          <w:sdtEndPr/>
          <w:sdtContent>
            <w:tc>
              <w:tcPr>
                <w:tcW w:w="811" w:type="dxa"/>
              </w:tcPr>
              <w:p w14:paraId="0A51B826" w14:textId="77777777" w:rsidR="008A4500" w:rsidRDefault="008A4500" w:rsidP="008A4500">
                <w:pPr>
                  <w:pStyle w:val="Tabellentextstandardkleinlinksbndig"/>
                </w:pPr>
                <w:r>
                  <w:rPr>
                    <w:rFonts w:ascii="MS Gothic" w:eastAsia="MS Gothic" w:hAnsi="MS Gothic" w:hint="eastAsia"/>
                  </w:rPr>
                  <w:t>☐</w:t>
                </w:r>
              </w:p>
            </w:tc>
          </w:sdtContent>
        </w:sdt>
      </w:tr>
    </w:tbl>
    <w:p w14:paraId="650A6AB4" w14:textId="0B3DF13C" w:rsidR="00FD0B7E" w:rsidRDefault="008A4500" w:rsidP="0056346E">
      <w:r w:rsidRPr="007F75F6">
        <w:rPr>
          <w:lang w:val="en-GB"/>
        </w:rPr>
        <w:lastRenderedPageBreak/>
        <w:t>Please use the following naming convention for the file names:</w:t>
      </w:r>
    </w:p>
    <w:p w14:paraId="5BAC6051" w14:textId="78AD12D1" w:rsidR="003F6425" w:rsidRPr="00BC332A" w:rsidRDefault="008A4500" w:rsidP="0056346E">
      <w:pPr>
        <w:rPr>
          <w:i/>
          <w:iCs/>
        </w:rPr>
      </w:pPr>
      <w:r w:rsidRPr="007F75F6">
        <w:rPr>
          <w:i/>
          <w:lang w:val="en-GB"/>
        </w:rPr>
        <w:t>Annex # – Name of annex</w:t>
      </w:r>
    </w:p>
    <w:p w14:paraId="7EF7F6F6" w14:textId="5C72B6E4" w:rsidR="009855E9" w:rsidRDefault="008A4500" w:rsidP="0056346E">
      <w:r w:rsidRPr="007F75F6">
        <w:rPr>
          <w:lang w:val="en-GB"/>
        </w:rPr>
        <w:t>Example for the Energy Efficiency Report at the time of application:</w:t>
      </w:r>
    </w:p>
    <w:p w14:paraId="09CA3F05" w14:textId="08118AC0" w:rsidR="009855E9" w:rsidRPr="00BC332A" w:rsidRDefault="008A4500" w:rsidP="0056346E">
      <w:pPr>
        <w:rPr>
          <w:i/>
          <w:iCs/>
        </w:rPr>
      </w:pPr>
      <w:r w:rsidRPr="007F75F6">
        <w:rPr>
          <w:i/>
          <w:lang w:val="en-GB"/>
        </w:rPr>
        <w:t>Annex 2 – Energy Efficiency Report at the time of application</w:t>
      </w:r>
    </w:p>
    <w:p w14:paraId="2EE05BD7" w14:textId="77777777" w:rsidR="00A37164" w:rsidRDefault="00A37164" w:rsidP="00E074EB">
      <w:pPr>
        <w:jc w:val="left"/>
      </w:pPr>
    </w:p>
    <w:p w14:paraId="70300358" w14:textId="3DBAAA71" w:rsidR="00E074EB" w:rsidRDefault="008A4500" w:rsidP="00E074EB">
      <w:pPr>
        <w:jc w:val="left"/>
      </w:pPr>
      <w:r w:rsidRPr="007F75F6">
        <w:rPr>
          <w:lang w:val="en-GB"/>
        </w:rPr>
        <w:t>The application documents include templates for the following annexes for use by the applicants.</w:t>
      </w:r>
    </w:p>
    <w:p w14:paraId="55B22146" w14:textId="77777777" w:rsidR="00F97A27" w:rsidRDefault="00F97A27" w:rsidP="00924621">
      <w:pPr>
        <w:tabs>
          <w:tab w:val="left" w:pos="1134"/>
        </w:tabs>
        <w:ind w:left="2127" w:hanging="2127"/>
        <w:rPr>
          <w:b/>
        </w:rPr>
      </w:pPr>
    </w:p>
    <w:p w14:paraId="54754413" w14:textId="77777777" w:rsidR="00F97A27" w:rsidRDefault="00F97A27" w:rsidP="00924621">
      <w:pPr>
        <w:tabs>
          <w:tab w:val="left" w:pos="1134"/>
        </w:tabs>
        <w:ind w:left="2127" w:hanging="2127"/>
        <w:rPr>
          <w:b/>
        </w:rPr>
      </w:pPr>
    </w:p>
    <w:p w14:paraId="41575455" w14:textId="77777777" w:rsidR="008A4500" w:rsidRPr="007F75F6" w:rsidRDefault="008A4500" w:rsidP="008A4500">
      <w:pPr>
        <w:tabs>
          <w:tab w:val="left" w:pos="1418"/>
        </w:tabs>
        <w:ind w:left="1418" w:hanging="1418"/>
        <w:rPr>
          <w:lang w:val="en-GB"/>
        </w:rPr>
      </w:pPr>
      <w:r w:rsidRPr="007F75F6">
        <w:rPr>
          <w:b/>
          <w:lang w:val="en-GB"/>
        </w:rPr>
        <w:t>Annex 2</w:t>
      </w:r>
      <w:r w:rsidRPr="007F75F6">
        <w:rPr>
          <w:b/>
          <w:lang w:val="en-GB"/>
        </w:rPr>
        <w:tab/>
      </w:r>
      <w:r w:rsidRPr="007F75F6">
        <w:rPr>
          <w:lang w:val="en-GB"/>
        </w:rPr>
        <w:t>Declaration of compliance with all criteria and the Energy Efficiency Report at the</w:t>
      </w:r>
      <w:r>
        <w:rPr>
          <w:lang w:val="en-GB"/>
        </w:rPr>
        <w:t xml:space="preserve"> </w:t>
      </w:r>
      <w:r w:rsidRPr="007F75F6">
        <w:rPr>
          <w:lang w:val="en-GB"/>
        </w:rPr>
        <w:t>time of application (this document), Paragraph 3.1.2</w:t>
      </w:r>
    </w:p>
    <w:p w14:paraId="4E4B0BBB" w14:textId="77777777" w:rsidR="008A4500" w:rsidRPr="007F75F6" w:rsidRDefault="008A4500" w:rsidP="008A4500">
      <w:pPr>
        <w:tabs>
          <w:tab w:val="left" w:pos="1134"/>
        </w:tabs>
        <w:ind w:left="1134" w:hanging="1134"/>
        <w:rPr>
          <w:lang w:val="en-GB"/>
        </w:rPr>
      </w:pPr>
      <w:r w:rsidRPr="007F75F6">
        <w:rPr>
          <w:b/>
          <w:lang w:val="en-GB"/>
        </w:rPr>
        <w:t>Annex 3.4</w:t>
      </w:r>
      <w:r w:rsidRPr="007F75F6">
        <w:rPr>
          <w:lang w:val="en-GB"/>
        </w:rPr>
        <w:tab/>
      </w:r>
      <w:r w:rsidRPr="007F75F6">
        <w:rPr>
          <w:lang w:val="en-GB"/>
        </w:rPr>
        <w:tab/>
        <w:t>Monitoring energy, air conditioning and water, Paragraph 3.2.2</w:t>
      </w:r>
    </w:p>
    <w:p w14:paraId="300DF062" w14:textId="77777777" w:rsidR="008A4500" w:rsidRPr="007F75F6" w:rsidRDefault="008A4500" w:rsidP="008A4500">
      <w:pPr>
        <w:tabs>
          <w:tab w:val="left" w:pos="1134"/>
        </w:tabs>
        <w:ind w:left="1134" w:hanging="1134"/>
        <w:rPr>
          <w:lang w:val="en-GB"/>
        </w:rPr>
      </w:pPr>
      <w:r w:rsidRPr="007F75F6">
        <w:rPr>
          <w:b/>
          <w:lang w:val="en-GB"/>
        </w:rPr>
        <w:t>Annex 3.5</w:t>
      </w:r>
      <w:r w:rsidRPr="007F75F6">
        <w:rPr>
          <w:lang w:val="en-GB"/>
        </w:rPr>
        <w:tab/>
      </w:r>
      <w:r w:rsidRPr="007F75F6">
        <w:rPr>
          <w:lang w:val="en-GB"/>
        </w:rPr>
        <w:tab/>
        <w:t>Inventory list of the technical equipment, Paragraph 3.2.3</w:t>
      </w:r>
    </w:p>
    <w:p w14:paraId="21CBA536" w14:textId="77777777" w:rsidR="008A4500" w:rsidRPr="007F75F6" w:rsidRDefault="008A4500" w:rsidP="008A4500">
      <w:pPr>
        <w:tabs>
          <w:tab w:val="left" w:pos="1134"/>
        </w:tabs>
        <w:ind w:left="1134" w:hanging="1134"/>
        <w:rPr>
          <w:lang w:val="en-GB"/>
        </w:rPr>
      </w:pPr>
      <w:r w:rsidRPr="007F75F6">
        <w:rPr>
          <w:b/>
          <w:lang w:val="en-GB"/>
        </w:rPr>
        <w:t>Annex 3.9</w:t>
      </w:r>
      <w:r w:rsidRPr="007F75F6">
        <w:rPr>
          <w:b/>
          <w:lang w:val="en-GB"/>
        </w:rPr>
        <w:tab/>
      </w:r>
      <w:r w:rsidRPr="007F75F6">
        <w:rPr>
          <w:lang w:val="en-GB"/>
        </w:rPr>
        <w:tab/>
        <w:t>Calculation of the PUE and CER, Paragraphs 3.2.7 and 3.2.8</w:t>
      </w:r>
    </w:p>
    <w:p w14:paraId="1C8DD8A5" w14:textId="77777777" w:rsidR="008A4500" w:rsidRPr="007F75F6" w:rsidRDefault="008A4500" w:rsidP="008A4500">
      <w:pPr>
        <w:tabs>
          <w:tab w:val="left" w:pos="1134"/>
        </w:tabs>
        <w:ind w:left="1134" w:hanging="1134"/>
        <w:rPr>
          <w:lang w:val="en-GB"/>
        </w:rPr>
      </w:pPr>
      <w:r w:rsidRPr="007F75F6">
        <w:rPr>
          <w:b/>
          <w:lang w:val="en-GB"/>
        </w:rPr>
        <w:t>Annex 4.1</w:t>
      </w:r>
      <w:r w:rsidRPr="007F75F6">
        <w:rPr>
          <w:b/>
          <w:lang w:val="en-GB"/>
        </w:rPr>
        <w:tab/>
      </w:r>
      <w:r w:rsidRPr="007F75F6">
        <w:rPr>
          <w:lang w:val="en-GB"/>
        </w:rPr>
        <w:tab/>
        <w:t>IT inventory list, Paragraph 3.3.1</w:t>
      </w:r>
    </w:p>
    <w:p w14:paraId="06621D8B" w14:textId="08BCE51F" w:rsidR="00E074EB" w:rsidRDefault="008A4500" w:rsidP="008A4500">
      <w:pPr>
        <w:tabs>
          <w:tab w:val="left" w:pos="1134"/>
        </w:tabs>
        <w:ind w:left="1134" w:hanging="1134"/>
      </w:pPr>
      <w:r w:rsidRPr="007F75F6">
        <w:rPr>
          <w:b/>
          <w:lang w:val="en-GB"/>
        </w:rPr>
        <w:t>Annex 4.2</w:t>
      </w:r>
      <w:r w:rsidRPr="007F75F6">
        <w:rPr>
          <w:b/>
          <w:lang w:val="en-GB"/>
        </w:rPr>
        <w:tab/>
      </w:r>
      <w:r w:rsidRPr="007F75F6">
        <w:rPr>
          <w:lang w:val="en-GB"/>
        </w:rPr>
        <w:tab/>
        <w:t>Monitoring of the IT load, Paragraph 3.3.2</w:t>
      </w:r>
      <w:r w:rsidR="00E074EB">
        <w:t xml:space="preserve">  </w:t>
      </w:r>
    </w:p>
    <w:p w14:paraId="7D140820" w14:textId="77777777" w:rsidR="00E074EB" w:rsidRDefault="00E074EB" w:rsidP="00E074EB">
      <w:pPr>
        <w:tabs>
          <w:tab w:val="left" w:pos="1134"/>
        </w:tabs>
        <w:ind w:left="1134" w:hanging="1134"/>
      </w:pPr>
    </w:p>
    <w:p w14:paraId="0488C165" w14:textId="77777777" w:rsidR="003A2FC5" w:rsidRDefault="003A2FC5">
      <w:pPr>
        <w:spacing w:line="240" w:lineRule="auto"/>
        <w:jc w:val="left"/>
      </w:pPr>
      <w:r>
        <w:br w:type="page"/>
      </w:r>
    </w:p>
    <w:p w14:paraId="0D6FE648" w14:textId="0FD03013" w:rsidR="007F26A3" w:rsidRPr="001806FC" w:rsidRDefault="00550E7A" w:rsidP="008964C3">
      <w:pPr>
        <w:pStyle w:val="b1"/>
      </w:pPr>
      <w:bookmarkStart w:id="179" w:name="_Ref122100181"/>
      <w:bookmarkStart w:id="180" w:name="_Toc129875217"/>
      <w:bookmarkEnd w:id="170"/>
      <w:bookmarkEnd w:id="171"/>
      <w:bookmarkEnd w:id="172"/>
      <w:bookmarkEnd w:id="173"/>
      <w:bookmarkEnd w:id="174"/>
      <w:bookmarkEnd w:id="175"/>
      <w:proofErr w:type="spellStart"/>
      <w:r>
        <w:lastRenderedPageBreak/>
        <w:t>Abkü</w:t>
      </w:r>
      <w:r w:rsidR="007F26A3" w:rsidRPr="001806FC">
        <w:t>r</w:t>
      </w:r>
      <w:bookmarkEnd w:id="179"/>
      <w:r>
        <w:t>ungsverzeichnis</w:t>
      </w:r>
      <w:bookmarkEnd w:id="180"/>
      <w:proofErr w:type="spellEnd"/>
    </w:p>
    <w:p w14:paraId="18E2208A" w14:textId="4F14AFE9" w:rsidR="007F26A3" w:rsidRPr="002044D7" w:rsidRDefault="007F26A3" w:rsidP="007B61C0">
      <w:pPr>
        <w:keepLines/>
        <w:ind w:left="2694" w:hanging="2694"/>
      </w:pPr>
      <w:r w:rsidRPr="002044D7">
        <w:rPr>
          <w:b/>
        </w:rPr>
        <w:t>COP</w:t>
      </w:r>
      <w:r w:rsidRPr="002044D7">
        <w:t>:</w:t>
      </w:r>
      <w:r w:rsidRPr="002044D7">
        <w:tab/>
      </w:r>
      <w:r w:rsidR="00181336" w:rsidRPr="007F75F6">
        <w:rPr>
          <w:lang w:val="en-GB"/>
        </w:rPr>
        <w:t xml:space="preserve">Coefficient of Performance: A performance value for mechanical </w:t>
      </w:r>
      <w:hyperlink r:id="rId27" w:tooltip="Cooling systems" w:history="1">
        <w:r w:rsidR="00181336" w:rsidRPr="007F75F6">
          <w:rPr>
            <w:lang w:val="en-GB"/>
          </w:rPr>
          <w:t>cooling systems</w:t>
        </w:r>
      </w:hyperlink>
      <w:r w:rsidR="00181336" w:rsidRPr="007F75F6">
        <w:rPr>
          <w:lang w:val="en-GB"/>
        </w:rPr>
        <w:t xml:space="preserve"> and for mechanical </w:t>
      </w:r>
      <w:hyperlink r:id="rId28" w:tooltip="Heat pump" w:history="1">
        <w:r w:rsidR="00181336" w:rsidRPr="007F75F6">
          <w:rPr>
            <w:lang w:val="en-GB"/>
          </w:rPr>
          <w:t>heat pumps</w:t>
        </w:r>
      </w:hyperlink>
      <w:r w:rsidR="00181336" w:rsidRPr="007F75F6">
        <w:rPr>
          <w:lang w:val="en-GB"/>
        </w:rPr>
        <w:t>. It is the ratio between the heating or cooling provided and the electrical energy consumed.</w:t>
      </w:r>
    </w:p>
    <w:p w14:paraId="36071371" w14:textId="4D3EE2E7" w:rsidR="007F26A3" w:rsidRPr="002044D7" w:rsidRDefault="007F26A3" w:rsidP="007B61C0">
      <w:pPr>
        <w:keepLines/>
        <w:ind w:left="2694" w:hanging="2694"/>
      </w:pPr>
      <w:r w:rsidRPr="002044D7">
        <w:rPr>
          <w:b/>
        </w:rPr>
        <w:t>CPU:</w:t>
      </w:r>
      <w:r w:rsidRPr="002044D7">
        <w:t xml:space="preserve"> </w:t>
      </w:r>
      <w:r w:rsidRPr="002044D7">
        <w:rPr>
          <w:b/>
        </w:rPr>
        <w:tab/>
      </w:r>
      <w:r w:rsidR="00181336" w:rsidRPr="007F75F6">
        <w:rPr>
          <w:lang w:val="en-GB"/>
        </w:rPr>
        <w:t>A Central Processing Unit (CPU) is the central component of a computer.</w:t>
      </w:r>
    </w:p>
    <w:p w14:paraId="325F6E56" w14:textId="737F38CA" w:rsidR="007F26A3" w:rsidRPr="002044D7" w:rsidRDefault="007F26A3" w:rsidP="007B61C0">
      <w:pPr>
        <w:keepLines/>
        <w:ind w:left="2694" w:hanging="2694"/>
      </w:pPr>
      <w:r w:rsidRPr="002044D7">
        <w:rPr>
          <w:b/>
        </w:rPr>
        <w:t>EER:</w:t>
      </w:r>
      <w:r w:rsidRPr="002044D7">
        <w:tab/>
      </w:r>
      <w:r w:rsidR="00181336" w:rsidRPr="007F75F6">
        <w:rPr>
          <w:lang w:val="en-GB"/>
        </w:rPr>
        <w:t>The energy efficiency ratio is a dimensionless key figure that describes the energy efficiency of a system. In the case of mechanical cooling systems, it is the ratio between the generated thermal energy (cold) to the electrical energy used over a defined period of time. If the EER is recorded over a time period of one year then it corresponds to the annual energy efficiency ratio (EER) of the cooling system.</w:t>
      </w:r>
    </w:p>
    <w:p w14:paraId="1218B3E9" w14:textId="57F81714" w:rsidR="007F26A3" w:rsidRPr="002044D7" w:rsidRDefault="007F26A3" w:rsidP="007B61C0">
      <w:pPr>
        <w:keepLines/>
        <w:ind w:left="2694" w:hanging="2694"/>
      </w:pPr>
      <w:r w:rsidRPr="002044D7">
        <w:rPr>
          <w:b/>
        </w:rPr>
        <w:t>IT:</w:t>
      </w:r>
      <w:r w:rsidRPr="002044D7">
        <w:tab/>
      </w:r>
      <w:r w:rsidR="00181336" w:rsidRPr="007F75F6">
        <w:rPr>
          <w:lang w:val="en-GB"/>
        </w:rPr>
        <w:t>Information technology (IT) is an umbrella term for the hardware used for data processing.</w:t>
      </w:r>
    </w:p>
    <w:p w14:paraId="0A21362A" w14:textId="65DD568A" w:rsidR="007F26A3" w:rsidRPr="002044D7" w:rsidRDefault="00181336" w:rsidP="007B61C0">
      <w:pPr>
        <w:keepLines/>
        <w:ind w:left="2694" w:hanging="2694"/>
      </w:pPr>
      <w:r>
        <w:rPr>
          <w:b/>
        </w:rPr>
        <w:t>C</w:t>
      </w:r>
      <w:r w:rsidR="007F26A3" w:rsidRPr="002044D7">
        <w:rPr>
          <w:b/>
        </w:rPr>
        <w:t>S:</w:t>
      </w:r>
      <w:r w:rsidR="007F26A3" w:rsidRPr="002044D7">
        <w:tab/>
      </w:r>
      <w:r w:rsidRPr="007F75F6">
        <w:rPr>
          <w:lang w:val="en-GB"/>
        </w:rPr>
        <w:t xml:space="preserve">A cooling system is the sum of the technical facilities for cooling a building or individual rooms e.g. a data </w:t>
      </w:r>
      <w:proofErr w:type="spellStart"/>
      <w:r w:rsidRPr="007F75F6">
        <w:rPr>
          <w:lang w:val="en-GB"/>
        </w:rPr>
        <w:t>center</w:t>
      </w:r>
      <w:proofErr w:type="spellEnd"/>
      <w:r w:rsidRPr="007F75F6">
        <w:rPr>
          <w:lang w:val="en-GB"/>
        </w:rPr>
        <w:t>.</w:t>
      </w:r>
    </w:p>
    <w:p w14:paraId="3727953E" w14:textId="775A1B16" w:rsidR="007F26A3" w:rsidRPr="00FC465A" w:rsidRDefault="00181336" w:rsidP="007B61C0">
      <w:pPr>
        <w:keepLines/>
        <w:ind w:left="2694" w:hanging="2694"/>
      </w:pPr>
      <w:r>
        <w:rPr>
          <w:b/>
        </w:rPr>
        <w:t>C</w:t>
      </w:r>
      <w:r w:rsidR="007F26A3" w:rsidRPr="002044D7">
        <w:rPr>
          <w:b/>
        </w:rPr>
        <w:t>W</w:t>
      </w:r>
      <w:r>
        <w:rPr>
          <w:b/>
        </w:rPr>
        <w:t>C</w:t>
      </w:r>
      <w:r w:rsidR="007F26A3" w:rsidRPr="002044D7">
        <w:rPr>
          <w:b/>
        </w:rPr>
        <w:t>:</w:t>
      </w:r>
      <w:r w:rsidR="007F26A3" w:rsidRPr="002044D7">
        <w:tab/>
      </w:r>
      <w:r w:rsidRPr="007F75F6">
        <w:rPr>
          <w:lang w:val="en-GB"/>
        </w:rPr>
        <w:t>A cold water chiller (CWC) is a chiller that cools a fluid heat transfer medium.</w:t>
      </w:r>
    </w:p>
    <w:p w14:paraId="049536E8" w14:textId="0E7E0019" w:rsidR="007F26A3" w:rsidRPr="002044D7" w:rsidRDefault="007F26A3" w:rsidP="007B61C0">
      <w:pPr>
        <w:keepLines/>
        <w:ind w:left="2694" w:hanging="2694"/>
      </w:pPr>
      <w:r w:rsidRPr="002044D7">
        <w:rPr>
          <w:b/>
        </w:rPr>
        <w:t>PDU:</w:t>
      </w:r>
      <w:r w:rsidRPr="002044D7">
        <w:tab/>
      </w:r>
      <w:r w:rsidR="00181336" w:rsidRPr="007F75F6">
        <w:rPr>
          <w:lang w:val="en-GB"/>
        </w:rPr>
        <w:t>A Power Distribution Unit (PDU) is the distribution unit within a server room that distributes the low voltage electricity to the individual IT components.</w:t>
      </w:r>
    </w:p>
    <w:p w14:paraId="6B680B6A" w14:textId="5E85A0F6" w:rsidR="007F26A3" w:rsidRPr="002044D7" w:rsidRDefault="00181336" w:rsidP="007B61C0">
      <w:pPr>
        <w:keepLines/>
        <w:ind w:left="2694" w:hanging="2694"/>
      </w:pPr>
      <w:r>
        <w:rPr>
          <w:b/>
        </w:rPr>
        <w:t>DC</w:t>
      </w:r>
      <w:r w:rsidR="007F26A3" w:rsidRPr="002044D7">
        <w:rPr>
          <w:b/>
        </w:rPr>
        <w:t>:</w:t>
      </w:r>
      <w:r w:rsidR="007F26A3" w:rsidRPr="002044D7">
        <w:tab/>
      </w:r>
      <w:r w:rsidRPr="007F75F6">
        <w:rPr>
          <w:lang w:val="en-GB"/>
        </w:rPr>
        <w:t xml:space="preserve">A data </w:t>
      </w:r>
      <w:proofErr w:type="spellStart"/>
      <w:r w:rsidRPr="007F75F6">
        <w:rPr>
          <w:lang w:val="en-GB"/>
        </w:rPr>
        <w:t>center</w:t>
      </w:r>
      <w:proofErr w:type="spellEnd"/>
      <w:r w:rsidRPr="007F75F6">
        <w:rPr>
          <w:lang w:val="en-GB"/>
        </w:rPr>
        <w:t xml:space="preserve"> is a spatially confined technical facility that serves to securely, permanently and centrally process large amounts of data over a long period of time.</w:t>
      </w:r>
    </w:p>
    <w:p w14:paraId="78C31F68" w14:textId="77777777" w:rsidR="00181336" w:rsidRDefault="00181336" w:rsidP="007B61C0">
      <w:pPr>
        <w:keepLines/>
        <w:ind w:left="2694" w:hanging="2694"/>
        <w:rPr>
          <w:b/>
          <w:lang w:val="en-GB"/>
        </w:rPr>
      </w:pPr>
      <w:r w:rsidRPr="007F75F6">
        <w:rPr>
          <w:b/>
          <w:lang w:val="en-GB"/>
        </w:rPr>
        <w:t>Recirculation</w:t>
      </w:r>
    </w:p>
    <w:p w14:paraId="1666C749" w14:textId="52305142" w:rsidR="007F26A3" w:rsidRPr="002044D7" w:rsidRDefault="00181336" w:rsidP="007B61C0">
      <w:pPr>
        <w:keepLines/>
        <w:ind w:left="2694" w:hanging="2694"/>
      </w:pPr>
      <w:r w:rsidRPr="007F75F6">
        <w:rPr>
          <w:b/>
          <w:lang w:val="en-GB"/>
        </w:rPr>
        <w:t>cooler</w:t>
      </w:r>
      <w:r w:rsidR="007F26A3" w:rsidRPr="002044D7">
        <w:rPr>
          <w:b/>
        </w:rPr>
        <w:t>:</w:t>
      </w:r>
      <w:r w:rsidR="007F26A3" w:rsidRPr="002044D7">
        <w:tab/>
      </w:r>
      <w:r w:rsidRPr="007F75F6">
        <w:rPr>
          <w:lang w:val="en-GB"/>
        </w:rPr>
        <w:t>A cooling device that circulates the air to be cooled in a circuit, i.e. no outside air is supplied, and this is cooled using heat transfer to the desired temperature level.</w:t>
      </w:r>
    </w:p>
    <w:p w14:paraId="7FF7FC67" w14:textId="2DB8C145" w:rsidR="008E62A3" w:rsidRPr="00CE6069" w:rsidRDefault="00181336" w:rsidP="007B61C0">
      <w:pPr>
        <w:keepLines/>
        <w:ind w:left="2694" w:hanging="2694"/>
      </w:pPr>
      <w:r w:rsidRPr="007F75F6">
        <w:rPr>
          <w:b/>
          <w:lang w:val="en-GB"/>
        </w:rPr>
        <w:t>UPS</w:t>
      </w:r>
      <w:r w:rsidR="007F26A3" w:rsidRPr="002044D7">
        <w:rPr>
          <w:b/>
        </w:rPr>
        <w:t>:</w:t>
      </w:r>
      <w:r w:rsidR="007F26A3" w:rsidRPr="002044D7">
        <w:tab/>
      </w:r>
      <w:bookmarkEnd w:id="176"/>
      <w:bookmarkEnd w:id="177"/>
      <w:bookmarkEnd w:id="178"/>
      <w:r w:rsidRPr="007F75F6">
        <w:rPr>
          <w:lang w:val="en-GB"/>
        </w:rPr>
        <w:t xml:space="preserve">An Uninterruptible Power Supply (UPS) is an apparatus within the energy supply system for the data </w:t>
      </w:r>
      <w:proofErr w:type="spellStart"/>
      <w:r w:rsidRPr="007F75F6">
        <w:rPr>
          <w:lang w:val="en-GB"/>
        </w:rPr>
        <w:t>center</w:t>
      </w:r>
      <w:proofErr w:type="spellEnd"/>
      <w:r w:rsidRPr="007F75F6">
        <w:rPr>
          <w:lang w:val="en-GB"/>
        </w:rPr>
        <w:t xml:space="preserve"> that increases the reliability of the energy supply. The UPS bridges short-term interruptions to the electricity supply grid using batteries and ensures that the servers and storage systems can be properly shut down in the event of a prolonged power failure.</w:t>
      </w:r>
    </w:p>
    <w:p w14:paraId="679B0728" w14:textId="6B3AB874" w:rsidR="008B6CCF" w:rsidRDefault="008B6CCF">
      <w:pPr>
        <w:keepLines/>
        <w:ind w:left="2694" w:hanging="2694"/>
      </w:pPr>
    </w:p>
    <w:p w14:paraId="46C32A3C" w14:textId="03C82255" w:rsidR="00BF358E" w:rsidRDefault="00181336" w:rsidP="00550E7A">
      <w:pPr>
        <w:pStyle w:val="StandardeinfacherZeilenabstand"/>
      </w:pPr>
      <w:r w:rsidRPr="007F75F6">
        <w:rPr>
          <w:lang w:val="en-GB"/>
        </w:rPr>
        <w:t>Aside from the abbreviations defined above, the definitions in the Basic Award Criteria apply (Paragraph 1.3).</w:t>
      </w:r>
    </w:p>
    <w:p w14:paraId="416E8098" w14:textId="77777777" w:rsidR="002E34E3" w:rsidRPr="00CE6069" w:rsidRDefault="002E34E3" w:rsidP="007E3FBD">
      <w:pPr>
        <w:pStyle w:val="b4"/>
        <w:numPr>
          <w:ilvl w:val="0"/>
          <w:numId w:val="0"/>
        </w:numPr>
        <w:ind w:left="1701"/>
      </w:pPr>
    </w:p>
    <w:sectPr w:rsidR="002E34E3" w:rsidRPr="00CE6069" w:rsidSect="003C1A26">
      <w:footerReference w:type="default" r:id="rId29"/>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DF957" w14:textId="77777777" w:rsidR="00A74DB8" w:rsidRDefault="00A74DB8">
      <w:r>
        <w:separator/>
      </w:r>
    </w:p>
    <w:p w14:paraId="0FA33023" w14:textId="77777777" w:rsidR="00A74DB8" w:rsidRDefault="00A74DB8"/>
  </w:endnote>
  <w:endnote w:type="continuationSeparator" w:id="0">
    <w:p w14:paraId="2C749F35" w14:textId="77777777" w:rsidR="00A74DB8" w:rsidRDefault="00A74DB8">
      <w:r>
        <w:continuationSeparator/>
      </w:r>
    </w:p>
    <w:p w14:paraId="110C78BE" w14:textId="77777777" w:rsidR="00A74DB8" w:rsidRDefault="00A74DB8"/>
  </w:endnote>
  <w:endnote w:type="continuationNotice" w:id="1">
    <w:p w14:paraId="388E6B2D" w14:textId="77777777" w:rsidR="00A74DB8" w:rsidRDefault="00A74DB8">
      <w:pPr>
        <w:spacing w:line="240" w:lineRule="auto"/>
      </w:pPr>
    </w:p>
    <w:p w14:paraId="4AB274B7" w14:textId="77777777" w:rsidR="00A74DB8" w:rsidRDefault="00A74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400B4" w14:textId="77777777" w:rsidR="000F494F" w:rsidRDefault="000F49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D57AE" w14:textId="47B9BE46" w:rsidR="00A74DB8" w:rsidRPr="007F53F0" w:rsidRDefault="00A74DB8" w:rsidP="007F53F0">
    <w:pPr>
      <w:tabs>
        <w:tab w:val="left" w:pos="4536"/>
        <w:tab w:val="left" w:pos="5387"/>
      </w:tabs>
    </w:pPr>
    <w:r>
      <w:t>Annex</w:t>
    </w:r>
    <w:r w:rsidRPr="007F53F0">
      <w:t xml:space="preserve"> 2</w:t>
    </w:r>
    <w:r w:rsidRPr="007F53F0">
      <w:tab/>
    </w:r>
    <w:r w:rsidRPr="007F53F0">
      <w:fldChar w:fldCharType="begin"/>
    </w:r>
    <w:r w:rsidRPr="007F53F0">
      <w:instrText>PAGE   \* MERGEFORMAT</w:instrText>
    </w:r>
    <w:r w:rsidRPr="007F53F0">
      <w:fldChar w:fldCharType="separate"/>
    </w:r>
    <w:r>
      <w:rPr>
        <w:noProof/>
      </w:rPr>
      <w:t>1</w:t>
    </w:r>
    <w:r w:rsidRPr="007F53F0">
      <w:fldChar w:fldCharType="end"/>
    </w:r>
    <w:r w:rsidRPr="007F53F0">
      <w:t>/28</w:t>
    </w:r>
    <w:r w:rsidRPr="007F53F0">
      <w:tab/>
    </w:r>
    <w:r>
      <w:t>DE</w:t>
    </w:r>
    <w:r w:rsidRPr="007F53F0">
      <w:t xml:space="preserve">-UZ </w:t>
    </w:r>
    <w:r>
      <w:t>228 Edition</w:t>
    </w:r>
    <w:r w:rsidRPr="007F53F0">
      <w:t xml:space="preserve"> </w:t>
    </w:r>
    <w:proofErr w:type="spellStart"/>
    <w:r w:rsidRPr="000F494F">
      <w:t>January</w:t>
    </w:r>
    <w:proofErr w:type="spellEnd"/>
    <w:r w:rsidRPr="000F494F">
      <w:t xml:space="preserv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B0784" w14:textId="77777777" w:rsidR="000F494F" w:rsidRDefault="000F494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588BF" w14:textId="25D8B10D" w:rsidR="00A74DB8" w:rsidRPr="00C04336" w:rsidRDefault="00A74DB8" w:rsidP="007F53F0">
    <w:pPr>
      <w:tabs>
        <w:tab w:val="left" w:pos="4536"/>
        <w:tab w:val="left" w:pos="5387"/>
      </w:tabs>
      <w:rPr>
        <w:color w:val="A6A6A6"/>
      </w:rPr>
    </w:pPr>
    <w:r>
      <w:t>Annex</w:t>
    </w:r>
    <w:r w:rsidRPr="007F53F0">
      <w:t xml:space="preserve"> 2</w:t>
    </w:r>
    <w:r w:rsidRPr="007F53F0">
      <w:tab/>
    </w:r>
    <w:r w:rsidRPr="007F53F0">
      <w:fldChar w:fldCharType="begin"/>
    </w:r>
    <w:r w:rsidRPr="007F53F0">
      <w:instrText>PAGE   \* MERGEFORMAT</w:instrText>
    </w:r>
    <w:r w:rsidRPr="007F53F0">
      <w:fldChar w:fldCharType="separate"/>
    </w:r>
    <w:r>
      <w:rPr>
        <w:noProof/>
      </w:rPr>
      <w:t>2</w:t>
    </w:r>
    <w:r w:rsidRPr="007F53F0">
      <w:fldChar w:fldCharType="end"/>
    </w:r>
    <w:r w:rsidRPr="007F53F0">
      <w:t>/</w:t>
    </w:r>
    <w:r>
      <w:t>24</w:t>
    </w:r>
    <w:r w:rsidRPr="007F53F0">
      <w:tab/>
    </w:r>
    <w:r>
      <w:t>DE</w:t>
    </w:r>
    <w:r w:rsidRPr="007F53F0">
      <w:t xml:space="preserve">-UZ </w:t>
    </w:r>
    <w:r>
      <w:t>228</w:t>
    </w:r>
    <w:r w:rsidRPr="007F53F0">
      <w:t xml:space="preserve"> </w:t>
    </w:r>
    <w:r>
      <w:t>Edition</w:t>
    </w:r>
    <w:r w:rsidRPr="007F53F0">
      <w:t xml:space="preserve"> </w:t>
    </w:r>
    <w:proofErr w:type="spellStart"/>
    <w:r w:rsidRPr="000F494F">
      <w:t>January</w:t>
    </w:r>
    <w:proofErr w:type="spellEnd"/>
    <w:r w:rsidRPr="000F494F">
      <w:t xml:space="preserve"> 2023</w:t>
    </w:r>
    <w:bookmarkStart w:id="1" w:name="_GoBack"/>
    <w:bookmarkEnd w:id="1"/>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38B54" w14:textId="668B5F52" w:rsidR="00A74DB8" w:rsidRPr="00E85CFE" w:rsidRDefault="00402068" w:rsidP="00E85CFE">
    <w:pPr>
      <w:pStyle w:val="Fuzeile"/>
    </w:pPr>
    <w:r>
      <w:t>Annex</w:t>
    </w:r>
    <w:r w:rsidR="00A74DB8" w:rsidRPr="00E85CFE">
      <w:t xml:space="preserve"> 2</w:t>
    </w:r>
    <w:r w:rsidR="00A74DB8" w:rsidRPr="00E85CFE">
      <w:tab/>
    </w:r>
    <w:r w:rsidR="00A74DB8" w:rsidRPr="00E85CFE">
      <w:fldChar w:fldCharType="begin"/>
    </w:r>
    <w:r w:rsidR="00A74DB8" w:rsidRPr="00E85CFE">
      <w:instrText xml:space="preserve"> PAGE   \* MERGEFORMAT </w:instrText>
    </w:r>
    <w:r w:rsidR="00A74DB8" w:rsidRPr="00E85CFE">
      <w:fldChar w:fldCharType="separate"/>
    </w:r>
    <w:r w:rsidR="00A74DB8" w:rsidRPr="00E85CFE">
      <w:t>5</w:t>
    </w:r>
    <w:r w:rsidR="00A74DB8" w:rsidRPr="00E85CFE">
      <w:fldChar w:fldCharType="end"/>
    </w:r>
    <w:r w:rsidR="00A74DB8" w:rsidRPr="00E85CFE">
      <w:t>/</w:t>
    </w:r>
    <w:r w:rsidR="000F494F">
      <w:fldChar w:fldCharType="begin"/>
    </w:r>
    <w:r w:rsidR="000F494F">
      <w:instrText xml:space="preserve"> NUMPAGES   \* MERGEFORMAT </w:instrText>
    </w:r>
    <w:r w:rsidR="000F494F">
      <w:fldChar w:fldCharType="separate"/>
    </w:r>
    <w:r w:rsidR="00A74DB8" w:rsidRPr="00E85CFE">
      <w:t>9</w:t>
    </w:r>
    <w:r w:rsidR="000F494F">
      <w:fldChar w:fldCharType="end"/>
    </w:r>
    <w:r w:rsidR="00A74DB8" w:rsidRPr="00E85CFE">
      <w:tab/>
      <w:t xml:space="preserve">DE-UZ 228 </w:t>
    </w:r>
    <w:r>
      <w:t>Edition</w:t>
    </w:r>
    <w:r w:rsidR="00A74DB8" w:rsidRPr="00E85CFE">
      <w:t xml:space="preserve"> </w:t>
    </w:r>
    <w:proofErr w:type="spellStart"/>
    <w:r w:rsidR="00A74DB8" w:rsidRPr="00E85CFE">
      <w:t>Januar</w:t>
    </w:r>
    <w:r>
      <w:t>y</w:t>
    </w:r>
    <w:proofErr w:type="spellEnd"/>
    <w:r w:rsidR="00A74DB8" w:rsidRPr="00E85CFE">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7D4BB" w14:textId="77777777" w:rsidR="00A74DB8" w:rsidRDefault="00A74DB8">
      <w:r>
        <w:separator/>
      </w:r>
    </w:p>
  </w:footnote>
  <w:footnote w:type="continuationSeparator" w:id="0">
    <w:p w14:paraId="6A404240" w14:textId="77777777" w:rsidR="00A74DB8" w:rsidRDefault="00A74DB8">
      <w:r>
        <w:continuationSeparator/>
      </w:r>
    </w:p>
  </w:footnote>
  <w:footnote w:type="continuationNotice" w:id="1">
    <w:p w14:paraId="6763C6E4" w14:textId="77777777" w:rsidR="00A74DB8" w:rsidRDefault="00A74DB8"/>
  </w:footnote>
  <w:footnote w:id="2">
    <w:p w14:paraId="0CA27450" w14:textId="77777777" w:rsidR="00BB5728" w:rsidRPr="007F75F6" w:rsidRDefault="00BB5728" w:rsidP="00BB5728">
      <w:pPr>
        <w:pStyle w:val="Funotentext"/>
        <w:ind w:left="0" w:firstLine="0"/>
        <w:rPr>
          <w:lang w:val="en-US"/>
        </w:rPr>
      </w:pPr>
      <w:r>
        <w:footnoteRef/>
      </w:r>
      <w:r w:rsidRPr="007F75F6">
        <w:rPr>
          <w:lang w:val="en-US"/>
        </w:rPr>
        <w:t xml:space="preserve"> </w:t>
      </w:r>
      <w:r w:rsidRPr="007F75F6">
        <w:rPr>
          <w:lang w:val="en-US"/>
        </w:rPr>
        <w:tab/>
        <w:t>DIN EN ISO 50001: Energy management systems - Requirements with guidance for use</w:t>
      </w:r>
    </w:p>
  </w:footnote>
  <w:footnote w:id="3">
    <w:p w14:paraId="4F54E446" w14:textId="77777777" w:rsidR="00BB5728" w:rsidRPr="007F75F6" w:rsidRDefault="00BB5728" w:rsidP="00BB5728">
      <w:pPr>
        <w:pStyle w:val="Funotentext"/>
        <w:rPr>
          <w:lang w:val="en-US"/>
        </w:rPr>
      </w:pPr>
      <w:r>
        <w:footnoteRef/>
      </w:r>
      <w:r w:rsidRPr="007F75F6">
        <w:rPr>
          <w:lang w:val="en-US"/>
        </w:rPr>
        <w:t xml:space="preserve"> </w:t>
      </w:r>
      <w:r w:rsidRPr="007F75F6">
        <w:rPr>
          <w:lang w:val="en-US"/>
        </w:rPr>
        <w:tab/>
        <w:t xml:space="preserve">Regulation (EC) No. 121/2009 of the European Parliament and of the Council of 25 November 2009 on the voluntary participation by </w:t>
      </w:r>
      <w:r w:rsidRPr="007F75F6">
        <w:rPr>
          <w:lang w:val="en-US"/>
        </w:rPr>
        <w:t>organisations in a Community eco-management and audit scheme (EMAS): OJ EC No. L 342, P. 1, 22/12/2009</w:t>
      </w:r>
    </w:p>
  </w:footnote>
  <w:footnote w:id="4">
    <w:p w14:paraId="232D2A71" w14:textId="77777777" w:rsidR="0070439D" w:rsidRPr="007F75F6" w:rsidRDefault="0070439D" w:rsidP="0070439D">
      <w:pPr>
        <w:pStyle w:val="Funotentext"/>
        <w:rPr>
          <w:lang w:val="en-US"/>
        </w:rPr>
      </w:pPr>
      <w:r>
        <w:footnoteRef/>
      </w:r>
      <w:r w:rsidRPr="007F75F6">
        <w:rPr>
          <w:lang w:val="en-US"/>
        </w:rPr>
        <w:t xml:space="preserve"> </w:t>
      </w:r>
      <w:r w:rsidRPr="007F75F6">
        <w:rPr>
          <w:lang w:val="en-US"/>
        </w:rPr>
        <w:tab/>
        <w:t xml:space="preserve">Sum of all electricity consumption billed to customers and the electricity consumption for the operation of the information technology operated by the colocation supplier (e.g. IT for monitoring, GLT,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DE2A" w14:textId="77777777" w:rsidR="000F494F" w:rsidRDefault="000F49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0D131" w14:textId="77777777" w:rsidR="000F494F" w:rsidRDefault="000F494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0EC32" w14:textId="77777777" w:rsidR="00A74DB8" w:rsidRDefault="00A74DB8" w:rsidP="00066B2B">
    <w:pPr>
      <w:tabs>
        <w:tab w:val="left" w:pos="7513"/>
      </w:tabs>
    </w:pPr>
    <w:r>
      <w:tab/>
    </w:r>
    <w:r>
      <w:tab/>
    </w:r>
    <w:r>
      <w:rPr>
        <w:noProof/>
      </w:rPr>
      <w:drawing>
        <wp:inline distT="0" distB="0" distL="0" distR="0" wp14:anchorId="7E3A01C5" wp14:editId="1262DC1A">
          <wp:extent cx="954011" cy="665749"/>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80E58" w14:textId="77777777" w:rsidR="00A74DB8" w:rsidRPr="00066B2B" w:rsidRDefault="00A74DB8" w:rsidP="0068210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6C0D430"/>
    <w:lvl w:ilvl="0">
      <w:start w:val="1"/>
      <w:numFmt w:val="decimal"/>
      <w:lvlText w:val="%1."/>
      <w:lvlJc w:val="left"/>
      <w:pPr>
        <w:tabs>
          <w:tab w:val="num" w:pos="926"/>
        </w:tabs>
        <w:ind w:left="926" w:hanging="360"/>
      </w:pPr>
    </w:lvl>
  </w:abstractNum>
  <w:abstractNum w:abstractNumId="1" w15:restartNumberingAfterBreak="0">
    <w:nsid w:val="06634531"/>
    <w:multiLevelType w:val="hybridMultilevel"/>
    <w:tmpl w:val="77906108"/>
    <w:lvl w:ilvl="0" w:tplc="0407000F">
      <w:start w:val="1"/>
      <w:numFmt w:val="decimal"/>
      <w:lvlText w:val="%1."/>
      <w:lvlJc w:val="left"/>
      <w:pPr>
        <w:ind w:left="357" w:hanging="360"/>
      </w:pPr>
      <w:rPr>
        <w:rFonts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2" w15:restartNumberingAfterBreak="0">
    <w:nsid w:val="08E14C45"/>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C96201"/>
    <w:multiLevelType w:val="multilevel"/>
    <w:tmpl w:val="B3F6694A"/>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5" w15:restartNumberingAfterBreak="0">
    <w:nsid w:val="0CF95DF0"/>
    <w:multiLevelType w:val="hybridMultilevel"/>
    <w:tmpl w:val="F90A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B752BA"/>
    <w:multiLevelType w:val="multilevel"/>
    <w:tmpl w:val="940040D2"/>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8" w15:restartNumberingAfterBreak="0">
    <w:nsid w:val="1AD065E5"/>
    <w:multiLevelType w:val="multilevel"/>
    <w:tmpl w:val="BDC27494"/>
    <w:lvl w:ilvl="0">
      <w:start w:val="1"/>
      <w:numFmt w:val="decimal"/>
      <w:lvlText w:val="%1"/>
      <w:lvlJc w:val="left"/>
      <w:pPr>
        <w:ind w:left="432" w:hanging="432"/>
      </w:pPr>
      <w:rPr>
        <w:rFonts w:asciiTheme="majorHAnsi" w:hAnsiTheme="majorHAnsi" w:hint="default"/>
        <w:b/>
        <w:color w:val="4F81BD" w:themeColor="accent1"/>
        <w:sz w:val="36"/>
      </w:rPr>
    </w:lvl>
    <w:lvl w:ilvl="1">
      <w:start w:val="1"/>
      <w:numFmt w:val="decimal"/>
      <w:lvlText w:val="%1.%2"/>
      <w:lvlJc w:val="left"/>
      <w:pPr>
        <w:ind w:left="576" w:hanging="576"/>
      </w:pPr>
      <w:rPr>
        <w:rFonts w:asciiTheme="majorHAnsi" w:hAnsiTheme="majorHAnsi" w:hint="default"/>
        <w:b/>
        <w:bCs w:val="0"/>
        <w:i w:val="0"/>
        <w:iCs w:val="0"/>
        <w:caps w:val="0"/>
        <w:smallCaps w:val="0"/>
        <w:strike w:val="0"/>
        <w:dstrike w:val="0"/>
        <w:vanish w:val="0"/>
        <w:color w:val="auto"/>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asciiTheme="majorHAnsi" w:hAnsiTheme="majorHAnsi" w:hint="default"/>
        <w:b/>
        <w:sz w:val="24"/>
      </w:rPr>
    </w:lvl>
    <w:lvl w:ilvl="3">
      <w:start w:val="1"/>
      <w:numFmt w:val="decimal"/>
      <w:lvlText w:val="%1.%2.%3.%4"/>
      <w:lvlJc w:val="left"/>
      <w:pPr>
        <w:ind w:left="864" w:hanging="864"/>
      </w:pPr>
      <w:rPr>
        <w:rFonts w:asciiTheme="majorHAnsi" w:hAnsiTheme="majorHAnsi" w:hint="default"/>
        <w:b/>
        <w:sz w:val="22"/>
      </w:rPr>
    </w:lvl>
    <w:lvl w:ilvl="4">
      <w:start w:val="1"/>
      <w:numFmt w:val="decimal"/>
      <w:lvlText w:val="%1.%2.%3.%4.%5"/>
      <w:lvlJc w:val="left"/>
      <w:pPr>
        <w:ind w:left="1004" w:hanging="1004"/>
      </w:pPr>
      <w:rPr>
        <w:rFonts w:asciiTheme="majorHAnsi" w:hAnsiTheme="majorHAnsi" w:hint="default"/>
        <w:b/>
        <w:i w:val="0"/>
        <w:color w:val="auto"/>
        <w:sz w:val="22"/>
      </w:rPr>
    </w:lvl>
    <w:lvl w:ilvl="5">
      <w:start w:val="1"/>
      <w:numFmt w:val="decimal"/>
      <w:lvlText w:val="%1.%2.%3.%4.%5.%6"/>
      <w:lvlJc w:val="left"/>
      <w:pPr>
        <w:ind w:left="1152" w:hanging="1152"/>
      </w:pPr>
      <w:rPr>
        <w:rFonts w:asciiTheme="majorHAnsi" w:hAnsiTheme="majorHAnsi" w:hint="default"/>
        <w:b w:val="0"/>
        <w:i/>
        <w:color w:val="auto"/>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0" w15:restartNumberingAfterBreak="0">
    <w:nsid w:val="22915E40"/>
    <w:multiLevelType w:val="multilevel"/>
    <w:tmpl w:val="3B72D8E4"/>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11" w15:restartNumberingAfterBreak="0">
    <w:nsid w:val="28C13C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3F5001A"/>
    <w:multiLevelType w:val="hybridMultilevel"/>
    <w:tmpl w:val="45F2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C6AB3"/>
    <w:multiLevelType w:val="hybridMultilevel"/>
    <w:tmpl w:val="64428EC4"/>
    <w:lvl w:ilvl="0" w:tplc="5C06DAEE">
      <w:start w:val="1"/>
      <w:numFmt w:val="bullet"/>
      <w:lvlText w:val=""/>
      <w:lvlJc w:val="left"/>
      <w:pPr>
        <w:ind w:left="357" w:hanging="360"/>
      </w:pPr>
      <w:rPr>
        <w:rFonts w:ascii="Symbol" w:hAnsi="Symbol"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14" w15:restartNumberingAfterBreak="0">
    <w:nsid w:val="3C8214E4"/>
    <w:multiLevelType w:val="multilevel"/>
    <w:tmpl w:val="49A0F2F4"/>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3E283FFD"/>
    <w:multiLevelType w:val="hybridMultilevel"/>
    <w:tmpl w:val="41A4B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0B6FCE"/>
    <w:multiLevelType w:val="multilevel"/>
    <w:tmpl w:val="FBBC055C"/>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4E2520D9"/>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BB04874"/>
    <w:multiLevelType w:val="multilevel"/>
    <w:tmpl w:val="49D8665A"/>
    <w:lvl w:ilvl="0">
      <w:start w:val="1"/>
      <w:numFmt w:val="bullet"/>
      <w:lvlText w:val="►"/>
      <w:lvlJc w:val="left"/>
      <w:pPr>
        <w:ind w:left="357" w:hanging="357"/>
      </w:pPr>
      <w:rPr>
        <w:rFonts w:ascii="Arial" w:hAnsi="Aria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0" w15:restartNumberingAfterBreak="0">
    <w:nsid w:val="5BD42AD3"/>
    <w:multiLevelType w:val="multilevel"/>
    <w:tmpl w:val="F2E4BEB2"/>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21" w15:restartNumberingAfterBreak="0">
    <w:nsid w:val="5ECA24B2"/>
    <w:multiLevelType w:val="hybridMultilevel"/>
    <w:tmpl w:val="0A328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C13341"/>
    <w:multiLevelType w:val="hybridMultilevel"/>
    <w:tmpl w:val="427016A0"/>
    <w:lvl w:ilvl="0" w:tplc="F9A27D1C">
      <w:start w:val="1"/>
      <w:numFmt w:val="bullet"/>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3" w15:restartNumberingAfterBreak="0">
    <w:nsid w:val="62B7447D"/>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4" w15:restartNumberingAfterBreak="0">
    <w:nsid w:val="6C9F6373"/>
    <w:multiLevelType w:val="multilevel"/>
    <w:tmpl w:val="6FF44A48"/>
    <w:lvl w:ilvl="0">
      <w:start w:val="1"/>
      <w:numFmt w:val="decimal"/>
      <w:lvlText w:val="%1"/>
      <w:lvlJc w:val="left"/>
      <w:pPr>
        <w:tabs>
          <w:tab w:val="num" w:pos="567"/>
        </w:tabs>
        <w:ind w:left="567" w:hanging="567"/>
      </w:pPr>
      <w:rPr>
        <w:rFonts w:ascii="Arial" w:hAnsi="Arial" w:cs="Arial" w:hint="default"/>
        <w:b/>
        <w:bCs/>
        <w:i w:val="0"/>
        <w:iCs w:val="0"/>
        <w:sz w:val="26"/>
        <w:szCs w:val="26"/>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851"/>
        </w:tabs>
        <w:ind w:left="851" w:hanging="851"/>
      </w:pPr>
      <w:rPr>
        <w:rFonts w:hint="default"/>
      </w:rPr>
    </w:lvl>
    <w:lvl w:ilvl="3">
      <w:start w:val="1"/>
      <w:numFmt w:val="decimal"/>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3009B8"/>
    <w:multiLevelType w:val="multilevel"/>
    <w:tmpl w:val="D6586DFE"/>
    <w:lvl w:ilvl="0">
      <w:start w:val="1"/>
      <w:numFmt w:val="decimal"/>
      <w:pStyle w:val="berschrift1"/>
      <w:lvlText w:val="%1"/>
      <w:lvlJc w:val="left"/>
      <w:pPr>
        <w:tabs>
          <w:tab w:val="num" w:pos="432"/>
        </w:tabs>
        <w:ind w:left="432" w:hanging="432"/>
      </w:pPr>
      <w:rPr>
        <w:rFonts w:hint="default"/>
        <w:lang w:val="de-DE"/>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CC139CB"/>
    <w:multiLevelType w:val="hybridMultilevel"/>
    <w:tmpl w:val="2B26C996"/>
    <w:lvl w:ilvl="0" w:tplc="17DA81E8">
      <w:start w:val="1"/>
      <w:numFmt w:val="bullet"/>
      <w:pStyle w:val="AufzhlungPunkt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E05399"/>
    <w:multiLevelType w:val="multilevel"/>
    <w:tmpl w:val="5966013C"/>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num w:numId="1">
    <w:abstractNumId w:val="11"/>
  </w:num>
  <w:num w:numId="2">
    <w:abstractNumId w:val="0"/>
  </w:num>
  <w:num w:numId="3">
    <w:abstractNumId w:val="24"/>
  </w:num>
  <w:num w:numId="4">
    <w:abstractNumId w:val="7"/>
  </w:num>
  <w:num w:numId="5">
    <w:abstractNumId w:val="29"/>
  </w:num>
  <w:num w:numId="6">
    <w:abstractNumId w:val="20"/>
  </w:num>
  <w:num w:numId="7">
    <w:abstractNumId w:val="10"/>
  </w:num>
  <w:num w:numId="8">
    <w:abstractNumId w:val="4"/>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26"/>
  </w:num>
  <w:num w:numId="13">
    <w:abstractNumId w:val="15"/>
  </w:num>
  <w:num w:numId="14">
    <w:abstractNumId w:val="8"/>
  </w:num>
  <w:num w:numId="15">
    <w:abstractNumId w:val="19"/>
  </w:num>
  <w:num w:numId="16">
    <w:abstractNumId w:val="21"/>
  </w:num>
  <w:num w:numId="17">
    <w:abstractNumId w:val="8"/>
  </w:num>
  <w:num w:numId="18">
    <w:abstractNumId w:val="27"/>
  </w:num>
  <w:num w:numId="19">
    <w:abstractNumId w:val="12"/>
  </w:num>
  <w:num w:numId="20">
    <w:abstractNumId w:val="5"/>
  </w:num>
  <w:num w:numId="21">
    <w:abstractNumId w:val="14"/>
  </w:num>
  <w:num w:numId="22">
    <w:abstractNumId w:val="16"/>
  </w:num>
  <w:num w:numId="23">
    <w:abstractNumId w:val="23"/>
  </w:num>
  <w:num w:numId="24">
    <w:abstractNumId w:val="17"/>
  </w:num>
  <w:num w:numId="25">
    <w:abstractNumId w:val="2"/>
  </w:num>
  <w:num w:numId="26">
    <w:abstractNumId w:val="1"/>
  </w:num>
  <w:num w:numId="27">
    <w:abstractNumId w:val="25"/>
  </w:num>
  <w:num w:numId="28">
    <w:abstractNumId w:val="9"/>
  </w:num>
  <w:num w:numId="29">
    <w:abstractNumId w:val="9"/>
  </w:num>
  <w:num w:numId="30">
    <w:abstractNumId w:val="9"/>
  </w:num>
  <w:num w:numId="31">
    <w:abstractNumId w:val="3"/>
  </w:num>
  <w:num w:numId="32">
    <w:abstractNumId w:val="3"/>
  </w:num>
  <w:num w:numId="33">
    <w:abstractNumId w:val="3"/>
  </w:num>
  <w:num w:numId="34">
    <w:abstractNumId w:val="3"/>
  </w:num>
  <w:num w:numId="35">
    <w:abstractNumId w:val="3"/>
  </w:num>
  <w:num w:numId="36">
    <w:abstractNumId w:val="9"/>
  </w:num>
  <w:num w:numId="37">
    <w:abstractNumId w:val="9"/>
  </w:num>
  <w:num w:numId="38">
    <w:abstractNumId w:val="18"/>
  </w:num>
  <w:num w:numId="39">
    <w:abstractNumId w:val="26"/>
  </w:num>
  <w:num w:numId="40">
    <w:abstractNumId w:val="26"/>
  </w:num>
  <w:num w:numId="41">
    <w:abstractNumId w:val="25"/>
  </w:num>
  <w:num w:numId="42">
    <w:abstractNumId w:val="25"/>
  </w:num>
  <w:num w:numId="43">
    <w:abstractNumId w:val="28"/>
  </w:num>
  <w:num w:numId="44">
    <w:abstractNumId w:val="28"/>
  </w:num>
  <w:num w:numId="45">
    <w:abstractNumId w:val="9"/>
  </w:num>
  <w:num w:numId="46">
    <w:abstractNumId w:val="9"/>
  </w:num>
  <w:num w:numId="47">
    <w:abstractNumId w:val="9"/>
  </w:num>
  <w:num w:numId="4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40"/>
    <w:rsid w:val="000015DA"/>
    <w:rsid w:val="00002A42"/>
    <w:rsid w:val="0000591C"/>
    <w:rsid w:val="00005D52"/>
    <w:rsid w:val="00007288"/>
    <w:rsid w:val="0001128C"/>
    <w:rsid w:val="00011BEF"/>
    <w:rsid w:val="0001224D"/>
    <w:rsid w:val="00013C54"/>
    <w:rsid w:val="00015529"/>
    <w:rsid w:val="000165D4"/>
    <w:rsid w:val="00017A30"/>
    <w:rsid w:val="00017A5E"/>
    <w:rsid w:val="000208F9"/>
    <w:rsid w:val="00021C83"/>
    <w:rsid w:val="00021E93"/>
    <w:rsid w:val="00022153"/>
    <w:rsid w:val="000237DA"/>
    <w:rsid w:val="00023D0E"/>
    <w:rsid w:val="00026F93"/>
    <w:rsid w:val="00030AD5"/>
    <w:rsid w:val="00031623"/>
    <w:rsid w:val="00032931"/>
    <w:rsid w:val="0003344F"/>
    <w:rsid w:val="000335CB"/>
    <w:rsid w:val="00033A12"/>
    <w:rsid w:val="00036A5E"/>
    <w:rsid w:val="0004123B"/>
    <w:rsid w:val="00041368"/>
    <w:rsid w:val="00044B0B"/>
    <w:rsid w:val="00044FE2"/>
    <w:rsid w:val="00045455"/>
    <w:rsid w:val="000461FE"/>
    <w:rsid w:val="00047457"/>
    <w:rsid w:val="00051569"/>
    <w:rsid w:val="00054809"/>
    <w:rsid w:val="00055CAD"/>
    <w:rsid w:val="00056060"/>
    <w:rsid w:val="00056BFE"/>
    <w:rsid w:val="00056F7A"/>
    <w:rsid w:val="0005760D"/>
    <w:rsid w:val="00061C0F"/>
    <w:rsid w:val="00065D79"/>
    <w:rsid w:val="000660CB"/>
    <w:rsid w:val="00066B2B"/>
    <w:rsid w:val="00066E87"/>
    <w:rsid w:val="00067B7D"/>
    <w:rsid w:val="00070986"/>
    <w:rsid w:val="00071A48"/>
    <w:rsid w:val="00075350"/>
    <w:rsid w:val="0007623F"/>
    <w:rsid w:val="0008130C"/>
    <w:rsid w:val="00081AB3"/>
    <w:rsid w:val="00081AEA"/>
    <w:rsid w:val="000832B0"/>
    <w:rsid w:val="00086268"/>
    <w:rsid w:val="00086FAD"/>
    <w:rsid w:val="000870E9"/>
    <w:rsid w:val="00087F8C"/>
    <w:rsid w:val="00090FA9"/>
    <w:rsid w:val="00093ADB"/>
    <w:rsid w:val="00094256"/>
    <w:rsid w:val="00094438"/>
    <w:rsid w:val="00095F83"/>
    <w:rsid w:val="000962A4"/>
    <w:rsid w:val="000A044E"/>
    <w:rsid w:val="000A0631"/>
    <w:rsid w:val="000A0789"/>
    <w:rsid w:val="000A3049"/>
    <w:rsid w:val="000A355E"/>
    <w:rsid w:val="000A5D00"/>
    <w:rsid w:val="000A601E"/>
    <w:rsid w:val="000A6865"/>
    <w:rsid w:val="000A6F54"/>
    <w:rsid w:val="000A79EC"/>
    <w:rsid w:val="000B2642"/>
    <w:rsid w:val="000B4271"/>
    <w:rsid w:val="000B50BE"/>
    <w:rsid w:val="000B5CF4"/>
    <w:rsid w:val="000B664E"/>
    <w:rsid w:val="000B77BF"/>
    <w:rsid w:val="000B7DC1"/>
    <w:rsid w:val="000C0BF2"/>
    <w:rsid w:val="000C1586"/>
    <w:rsid w:val="000C19A4"/>
    <w:rsid w:val="000C1B0E"/>
    <w:rsid w:val="000C4E42"/>
    <w:rsid w:val="000C54F3"/>
    <w:rsid w:val="000C6957"/>
    <w:rsid w:val="000C7437"/>
    <w:rsid w:val="000D0587"/>
    <w:rsid w:val="000D0651"/>
    <w:rsid w:val="000D5448"/>
    <w:rsid w:val="000D57B1"/>
    <w:rsid w:val="000D6829"/>
    <w:rsid w:val="000D7379"/>
    <w:rsid w:val="000E03E1"/>
    <w:rsid w:val="000E118B"/>
    <w:rsid w:val="000E2A0C"/>
    <w:rsid w:val="000E5F18"/>
    <w:rsid w:val="000E6CC8"/>
    <w:rsid w:val="000E7034"/>
    <w:rsid w:val="000F0A5E"/>
    <w:rsid w:val="000F11EC"/>
    <w:rsid w:val="000F198A"/>
    <w:rsid w:val="000F3287"/>
    <w:rsid w:val="000F3E76"/>
    <w:rsid w:val="000F47C1"/>
    <w:rsid w:val="000F494F"/>
    <w:rsid w:val="000F4A6C"/>
    <w:rsid w:val="000F51AA"/>
    <w:rsid w:val="000F57D3"/>
    <w:rsid w:val="000F5FA7"/>
    <w:rsid w:val="000F61E8"/>
    <w:rsid w:val="000F6653"/>
    <w:rsid w:val="000F6FF8"/>
    <w:rsid w:val="000F786F"/>
    <w:rsid w:val="00101A13"/>
    <w:rsid w:val="00101CD2"/>
    <w:rsid w:val="00102741"/>
    <w:rsid w:val="00103920"/>
    <w:rsid w:val="001051FB"/>
    <w:rsid w:val="00105DED"/>
    <w:rsid w:val="00111829"/>
    <w:rsid w:val="001126E4"/>
    <w:rsid w:val="00112703"/>
    <w:rsid w:val="00120BBA"/>
    <w:rsid w:val="00120E93"/>
    <w:rsid w:val="00121AC6"/>
    <w:rsid w:val="0012431F"/>
    <w:rsid w:val="0012480C"/>
    <w:rsid w:val="00127D50"/>
    <w:rsid w:val="0013065B"/>
    <w:rsid w:val="00131226"/>
    <w:rsid w:val="0013289B"/>
    <w:rsid w:val="00136A4B"/>
    <w:rsid w:val="00140414"/>
    <w:rsid w:val="001404DC"/>
    <w:rsid w:val="0014217B"/>
    <w:rsid w:val="00142E2C"/>
    <w:rsid w:val="00142FA7"/>
    <w:rsid w:val="00143135"/>
    <w:rsid w:val="0014464D"/>
    <w:rsid w:val="00152960"/>
    <w:rsid w:val="00152D52"/>
    <w:rsid w:val="00154A19"/>
    <w:rsid w:val="00154A9C"/>
    <w:rsid w:val="001551D6"/>
    <w:rsid w:val="00155DED"/>
    <w:rsid w:val="001673C4"/>
    <w:rsid w:val="0016740A"/>
    <w:rsid w:val="00167D40"/>
    <w:rsid w:val="00167F9D"/>
    <w:rsid w:val="00170FFD"/>
    <w:rsid w:val="00172D2C"/>
    <w:rsid w:val="0017341D"/>
    <w:rsid w:val="00173E89"/>
    <w:rsid w:val="00177E9B"/>
    <w:rsid w:val="001806FC"/>
    <w:rsid w:val="00180F6F"/>
    <w:rsid w:val="00181336"/>
    <w:rsid w:val="001837F7"/>
    <w:rsid w:val="00183800"/>
    <w:rsid w:val="00185024"/>
    <w:rsid w:val="0018566B"/>
    <w:rsid w:val="00186BE6"/>
    <w:rsid w:val="00187212"/>
    <w:rsid w:val="001879CC"/>
    <w:rsid w:val="001904F9"/>
    <w:rsid w:val="00190686"/>
    <w:rsid w:val="00193EDC"/>
    <w:rsid w:val="00195AA4"/>
    <w:rsid w:val="0019635D"/>
    <w:rsid w:val="00196395"/>
    <w:rsid w:val="0019795D"/>
    <w:rsid w:val="00197DB5"/>
    <w:rsid w:val="001A00C9"/>
    <w:rsid w:val="001A012E"/>
    <w:rsid w:val="001A025C"/>
    <w:rsid w:val="001A0F2D"/>
    <w:rsid w:val="001A109A"/>
    <w:rsid w:val="001A1163"/>
    <w:rsid w:val="001A2C3D"/>
    <w:rsid w:val="001A2CCB"/>
    <w:rsid w:val="001A3F2C"/>
    <w:rsid w:val="001A4B9F"/>
    <w:rsid w:val="001A60E2"/>
    <w:rsid w:val="001A6106"/>
    <w:rsid w:val="001B2932"/>
    <w:rsid w:val="001B3581"/>
    <w:rsid w:val="001B3A6D"/>
    <w:rsid w:val="001B3E76"/>
    <w:rsid w:val="001B3FD4"/>
    <w:rsid w:val="001B44D9"/>
    <w:rsid w:val="001B453A"/>
    <w:rsid w:val="001B6DEB"/>
    <w:rsid w:val="001B6E5D"/>
    <w:rsid w:val="001B780B"/>
    <w:rsid w:val="001C0CC2"/>
    <w:rsid w:val="001C1BD4"/>
    <w:rsid w:val="001C1CEE"/>
    <w:rsid w:val="001C22E7"/>
    <w:rsid w:val="001C261A"/>
    <w:rsid w:val="001C38EF"/>
    <w:rsid w:val="001C5DD1"/>
    <w:rsid w:val="001C69DF"/>
    <w:rsid w:val="001C6EFB"/>
    <w:rsid w:val="001C7020"/>
    <w:rsid w:val="001C78F7"/>
    <w:rsid w:val="001D2D27"/>
    <w:rsid w:val="001D344C"/>
    <w:rsid w:val="001D3A33"/>
    <w:rsid w:val="001D3AD0"/>
    <w:rsid w:val="001D4214"/>
    <w:rsid w:val="001D6040"/>
    <w:rsid w:val="001D60EC"/>
    <w:rsid w:val="001D66FA"/>
    <w:rsid w:val="001E002A"/>
    <w:rsid w:val="001E07E2"/>
    <w:rsid w:val="001E6AC0"/>
    <w:rsid w:val="001E6C86"/>
    <w:rsid w:val="001E7E4A"/>
    <w:rsid w:val="001F0EC4"/>
    <w:rsid w:val="001F1A1D"/>
    <w:rsid w:val="001F318A"/>
    <w:rsid w:val="001F3334"/>
    <w:rsid w:val="001F4D28"/>
    <w:rsid w:val="001F5759"/>
    <w:rsid w:val="001F63DE"/>
    <w:rsid w:val="001F7315"/>
    <w:rsid w:val="00200415"/>
    <w:rsid w:val="00204239"/>
    <w:rsid w:val="002044D7"/>
    <w:rsid w:val="0020548C"/>
    <w:rsid w:val="00214DA1"/>
    <w:rsid w:val="00214DF4"/>
    <w:rsid w:val="00217EDE"/>
    <w:rsid w:val="00220DD1"/>
    <w:rsid w:val="0022105F"/>
    <w:rsid w:val="00221AC8"/>
    <w:rsid w:val="00221EF0"/>
    <w:rsid w:val="00222D18"/>
    <w:rsid w:val="00222D43"/>
    <w:rsid w:val="00222FA5"/>
    <w:rsid w:val="00224365"/>
    <w:rsid w:val="002249CD"/>
    <w:rsid w:val="00225604"/>
    <w:rsid w:val="00225D55"/>
    <w:rsid w:val="0022626E"/>
    <w:rsid w:val="00226ACA"/>
    <w:rsid w:val="002314AE"/>
    <w:rsid w:val="002326D8"/>
    <w:rsid w:val="00232986"/>
    <w:rsid w:val="002337C7"/>
    <w:rsid w:val="00233A89"/>
    <w:rsid w:val="00233B81"/>
    <w:rsid w:val="00234174"/>
    <w:rsid w:val="002344B9"/>
    <w:rsid w:val="00235C04"/>
    <w:rsid w:val="00236B6D"/>
    <w:rsid w:val="00237EA9"/>
    <w:rsid w:val="00240329"/>
    <w:rsid w:val="002412CA"/>
    <w:rsid w:val="00241929"/>
    <w:rsid w:val="00241B31"/>
    <w:rsid w:val="002427E9"/>
    <w:rsid w:val="0024313C"/>
    <w:rsid w:val="002438B2"/>
    <w:rsid w:val="002459B7"/>
    <w:rsid w:val="00245D98"/>
    <w:rsid w:val="00247A99"/>
    <w:rsid w:val="00250A55"/>
    <w:rsid w:val="002516A7"/>
    <w:rsid w:val="00253507"/>
    <w:rsid w:val="00253C82"/>
    <w:rsid w:val="00255E74"/>
    <w:rsid w:val="00257EF1"/>
    <w:rsid w:val="002609FF"/>
    <w:rsid w:val="0026528A"/>
    <w:rsid w:val="002670E6"/>
    <w:rsid w:val="002711CA"/>
    <w:rsid w:val="0027251A"/>
    <w:rsid w:val="00272C7F"/>
    <w:rsid w:val="002746CF"/>
    <w:rsid w:val="002761B8"/>
    <w:rsid w:val="0028097F"/>
    <w:rsid w:val="0028098A"/>
    <w:rsid w:val="00281E4F"/>
    <w:rsid w:val="00283E36"/>
    <w:rsid w:val="00283F7F"/>
    <w:rsid w:val="00287BC2"/>
    <w:rsid w:val="00290197"/>
    <w:rsid w:val="002919FF"/>
    <w:rsid w:val="00291E26"/>
    <w:rsid w:val="002934E2"/>
    <w:rsid w:val="002943C0"/>
    <w:rsid w:val="00294FC9"/>
    <w:rsid w:val="00295DCB"/>
    <w:rsid w:val="00295E11"/>
    <w:rsid w:val="00295E24"/>
    <w:rsid w:val="002962A8"/>
    <w:rsid w:val="002975F4"/>
    <w:rsid w:val="00297858"/>
    <w:rsid w:val="002A19E8"/>
    <w:rsid w:val="002A2581"/>
    <w:rsid w:val="002A455A"/>
    <w:rsid w:val="002A4636"/>
    <w:rsid w:val="002A4FE4"/>
    <w:rsid w:val="002A6E91"/>
    <w:rsid w:val="002A771C"/>
    <w:rsid w:val="002A79CB"/>
    <w:rsid w:val="002B12D6"/>
    <w:rsid w:val="002B1536"/>
    <w:rsid w:val="002B15E3"/>
    <w:rsid w:val="002B256F"/>
    <w:rsid w:val="002B2663"/>
    <w:rsid w:val="002B32C4"/>
    <w:rsid w:val="002B3D62"/>
    <w:rsid w:val="002B3E13"/>
    <w:rsid w:val="002B5337"/>
    <w:rsid w:val="002B5CB3"/>
    <w:rsid w:val="002B6035"/>
    <w:rsid w:val="002B7881"/>
    <w:rsid w:val="002C170B"/>
    <w:rsid w:val="002C1769"/>
    <w:rsid w:val="002C1DDA"/>
    <w:rsid w:val="002C1E56"/>
    <w:rsid w:val="002C1FFF"/>
    <w:rsid w:val="002C236C"/>
    <w:rsid w:val="002C27D2"/>
    <w:rsid w:val="002C2CB3"/>
    <w:rsid w:val="002C3099"/>
    <w:rsid w:val="002C6800"/>
    <w:rsid w:val="002C79E4"/>
    <w:rsid w:val="002D0AE4"/>
    <w:rsid w:val="002D2A54"/>
    <w:rsid w:val="002D3187"/>
    <w:rsid w:val="002D3A8D"/>
    <w:rsid w:val="002D61BE"/>
    <w:rsid w:val="002E05B4"/>
    <w:rsid w:val="002E2685"/>
    <w:rsid w:val="002E34E3"/>
    <w:rsid w:val="002E62CA"/>
    <w:rsid w:val="002E62DB"/>
    <w:rsid w:val="002E73C2"/>
    <w:rsid w:val="002E777E"/>
    <w:rsid w:val="002E784B"/>
    <w:rsid w:val="002F04EF"/>
    <w:rsid w:val="002F0B86"/>
    <w:rsid w:val="002F3AEE"/>
    <w:rsid w:val="002F4DF1"/>
    <w:rsid w:val="002F5472"/>
    <w:rsid w:val="002F56F7"/>
    <w:rsid w:val="002F78C1"/>
    <w:rsid w:val="002F7944"/>
    <w:rsid w:val="003020AD"/>
    <w:rsid w:val="00302722"/>
    <w:rsid w:val="003027B0"/>
    <w:rsid w:val="003027CD"/>
    <w:rsid w:val="00304453"/>
    <w:rsid w:val="00306096"/>
    <w:rsid w:val="0030609D"/>
    <w:rsid w:val="00306264"/>
    <w:rsid w:val="003066DA"/>
    <w:rsid w:val="0031052C"/>
    <w:rsid w:val="003117AF"/>
    <w:rsid w:val="00313462"/>
    <w:rsid w:val="00314116"/>
    <w:rsid w:val="003144FD"/>
    <w:rsid w:val="0031496D"/>
    <w:rsid w:val="00314F8B"/>
    <w:rsid w:val="003166BB"/>
    <w:rsid w:val="00316BB0"/>
    <w:rsid w:val="00320F30"/>
    <w:rsid w:val="0032185C"/>
    <w:rsid w:val="00324084"/>
    <w:rsid w:val="003269AA"/>
    <w:rsid w:val="00327E89"/>
    <w:rsid w:val="00332BDE"/>
    <w:rsid w:val="00332D44"/>
    <w:rsid w:val="0033345A"/>
    <w:rsid w:val="00334EE3"/>
    <w:rsid w:val="00335006"/>
    <w:rsid w:val="0033723D"/>
    <w:rsid w:val="0034033B"/>
    <w:rsid w:val="003432BB"/>
    <w:rsid w:val="00343B8C"/>
    <w:rsid w:val="00344A38"/>
    <w:rsid w:val="00344A3B"/>
    <w:rsid w:val="003452F4"/>
    <w:rsid w:val="00345365"/>
    <w:rsid w:val="003453DF"/>
    <w:rsid w:val="0034653B"/>
    <w:rsid w:val="003465F6"/>
    <w:rsid w:val="00346A57"/>
    <w:rsid w:val="00347B3C"/>
    <w:rsid w:val="00350166"/>
    <w:rsid w:val="003514FC"/>
    <w:rsid w:val="003526FF"/>
    <w:rsid w:val="003527FD"/>
    <w:rsid w:val="0035758D"/>
    <w:rsid w:val="00357ABB"/>
    <w:rsid w:val="00357C89"/>
    <w:rsid w:val="00361887"/>
    <w:rsid w:val="00362341"/>
    <w:rsid w:val="003624D2"/>
    <w:rsid w:val="003656E9"/>
    <w:rsid w:val="0036604F"/>
    <w:rsid w:val="0037202C"/>
    <w:rsid w:val="003735DC"/>
    <w:rsid w:val="00373911"/>
    <w:rsid w:val="00374319"/>
    <w:rsid w:val="00376790"/>
    <w:rsid w:val="00376CA1"/>
    <w:rsid w:val="00383782"/>
    <w:rsid w:val="003860A9"/>
    <w:rsid w:val="00391E83"/>
    <w:rsid w:val="00393254"/>
    <w:rsid w:val="00393F82"/>
    <w:rsid w:val="00396DA9"/>
    <w:rsid w:val="00397FDE"/>
    <w:rsid w:val="003A2335"/>
    <w:rsid w:val="003A2D77"/>
    <w:rsid w:val="003A2FC5"/>
    <w:rsid w:val="003A308A"/>
    <w:rsid w:val="003A4A3E"/>
    <w:rsid w:val="003A4D30"/>
    <w:rsid w:val="003A4DD9"/>
    <w:rsid w:val="003A5ABB"/>
    <w:rsid w:val="003A5D67"/>
    <w:rsid w:val="003A67B7"/>
    <w:rsid w:val="003B1EB6"/>
    <w:rsid w:val="003B313C"/>
    <w:rsid w:val="003B55E5"/>
    <w:rsid w:val="003B5A64"/>
    <w:rsid w:val="003C1A26"/>
    <w:rsid w:val="003C1B87"/>
    <w:rsid w:val="003C437F"/>
    <w:rsid w:val="003C45BE"/>
    <w:rsid w:val="003C4B02"/>
    <w:rsid w:val="003D08BF"/>
    <w:rsid w:val="003D2A20"/>
    <w:rsid w:val="003D354C"/>
    <w:rsid w:val="003D5734"/>
    <w:rsid w:val="003D5EB7"/>
    <w:rsid w:val="003D6003"/>
    <w:rsid w:val="003E1096"/>
    <w:rsid w:val="003E2934"/>
    <w:rsid w:val="003E44B0"/>
    <w:rsid w:val="003E54B8"/>
    <w:rsid w:val="003E5DF9"/>
    <w:rsid w:val="003E5F5D"/>
    <w:rsid w:val="003E65C5"/>
    <w:rsid w:val="003E6BEF"/>
    <w:rsid w:val="003F0BE2"/>
    <w:rsid w:val="003F2042"/>
    <w:rsid w:val="003F2A39"/>
    <w:rsid w:val="003F2BCD"/>
    <w:rsid w:val="003F5577"/>
    <w:rsid w:val="003F6425"/>
    <w:rsid w:val="003F6B51"/>
    <w:rsid w:val="004010AE"/>
    <w:rsid w:val="004012ED"/>
    <w:rsid w:val="0040130F"/>
    <w:rsid w:val="00402068"/>
    <w:rsid w:val="00402D2F"/>
    <w:rsid w:val="00403349"/>
    <w:rsid w:val="00404875"/>
    <w:rsid w:val="00405ED8"/>
    <w:rsid w:val="00406161"/>
    <w:rsid w:val="004062A0"/>
    <w:rsid w:val="00406C5D"/>
    <w:rsid w:val="00410ED4"/>
    <w:rsid w:val="00410F39"/>
    <w:rsid w:val="0041157F"/>
    <w:rsid w:val="00412309"/>
    <w:rsid w:val="00414C15"/>
    <w:rsid w:val="00415166"/>
    <w:rsid w:val="00416D2D"/>
    <w:rsid w:val="004218CF"/>
    <w:rsid w:val="004220BB"/>
    <w:rsid w:val="00423744"/>
    <w:rsid w:val="00424F87"/>
    <w:rsid w:val="00425929"/>
    <w:rsid w:val="00425D3A"/>
    <w:rsid w:val="004264A7"/>
    <w:rsid w:val="004319A9"/>
    <w:rsid w:val="00431DFF"/>
    <w:rsid w:val="00432274"/>
    <w:rsid w:val="00432D8B"/>
    <w:rsid w:val="00433A32"/>
    <w:rsid w:val="004344EB"/>
    <w:rsid w:val="00434964"/>
    <w:rsid w:val="00436E58"/>
    <w:rsid w:val="004372A4"/>
    <w:rsid w:val="004372F7"/>
    <w:rsid w:val="00437A6E"/>
    <w:rsid w:val="00437F6C"/>
    <w:rsid w:val="00440708"/>
    <w:rsid w:val="00440D66"/>
    <w:rsid w:val="004410B3"/>
    <w:rsid w:val="00441B8A"/>
    <w:rsid w:val="00442C4B"/>
    <w:rsid w:val="00442D92"/>
    <w:rsid w:val="00443249"/>
    <w:rsid w:val="00446610"/>
    <w:rsid w:val="00446962"/>
    <w:rsid w:val="00446FAE"/>
    <w:rsid w:val="00450140"/>
    <w:rsid w:val="0045087A"/>
    <w:rsid w:val="00451999"/>
    <w:rsid w:val="0045246F"/>
    <w:rsid w:val="004538A6"/>
    <w:rsid w:val="00453F3A"/>
    <w:rsid w:val="00454C6F"/>
    <w:rsid w:val="004562B1"/>
    <w:rsid w:val="004563E1"/>
    <w:rsid w:val="004579E1"/>
    <w:rsid w:val="00457DBA"/>
    <w:rsid w:val="00460290"/>
    <w:rsid w:val="00460B75"/>
    <w:rsid w:val="00461B77"/>
    <w:rsid w:val="0046383F"/>
    <w:rsid w:val="00464C4B"/>
    <w:rsid w:val="00464DAC"/>
    <w:rsid w:val="0047091C"/>
    <w:rsid w:val="004709EF"/>
    <w:rsid w:val="00471A23"/>
    <w:rsid w:val="00471E99"/>
    <w:rsid w:val="00474295"/>
    <w:rsid w:val="00477624"/>
    <w:rsid w:val="00477B1C"/>
    <w:rsid w:val="00483F49"/>
    <w:rsid w:val="00484A18"/>
    <w:rsid w:val="0048666B"/>
    <w:rsid w:val="004872DA"/>
    <w:rsid w:val="00487AB6"/>
    <w:rsid w:val="00492585"/>
    <w:rsid w:val="00493914"/>
    <w:rsid w:val="00493953"/>
    <w:rsid w:val="004949DD"/>
    <w:rsid w:val="00494EC7"/>
    <w:rsid w:val="00495182"/>
    <w:rsid w:val="004961D0"/>
    <w:rsid w:val="00496C8E"/>
    <w:rsid w:val="0049718D"/>
    <w:rsid w:val="004A026F"/>
    <w:rsid w:val="004A247D"/>
    <w:rsid w:val="004A2499"/>
    <w:rsid w:val="004A35E5"/>
    <w:rsid w:val="004A3CB0"/>
    <w:rsid w:val="004A4C49"/>
    <w:rsid w:val="004B255B"/>
    <w:rsid w:val="004C03A8"/>
    <w:rsid w:val="004C1089"/>
    <w:rsid w:val="004C1207"/>
    <w:rsid w:val="004C2D72"/>
    <w:rsid w:val="004C341A"/>
    <w:rsid w:val="004C3AEC"/>
    <w:rsid w:val="004C484C"/>
    <w:rsid w:val="004C5316"/>
    <w:rsid w:val="004C54D7"/>
    <w:rsid w:val="004C55BF"/>
    <w:rsid w:val="004C5A7A"/>
    <w:rsid w:val="004C6CC1"/>
    <w:rsid w:val="004C711C"/>
    <w:rsid w:val="004D0DF0"/>
    <w:rsid w:val="004D33ED"/>
    <w:rsid w:val="004D5BFE"/>
    <w:rsid w:val="004D5D1E"/>
    <w:rsid w:val="004D6BB9"/>
    <w:rsid w:val="004D6F58"/>
    <w:rsid w:val="004E0DA5"/>
    <w:rsid w:val="004E1CC4"/>
    <w:rsid w:val="004E20B0"/>
    <w:rsid w:val="004E3254"/>
    <w:rsid w:val="004E3D90"/>
    <w:rsid w:val="004E4D86"/>
    <w:rsid w:val="004E5396"/>
    <w:rsid w:val="004E558A"/>
    <w:rsid w:val="004E5677"/>
    <w:rsid w:val="004E64A7"/>
    <w:rsid w:val="004E669B"/>
    <w:rsid w:val="004F21DA"/>
    <w:rsid w:val="004F346F"/>
    <w:rsid w:val="004F359D"/>
    <w:rsid w:val="004F37FA"/>
    <w:rsid w:val="004F3A62"/>
    <w:rsid w:val="004F51A2"/>
    <w:rsid w:val="004F6014"/>
    <w:rsid w:val="004F6920"/>
    <w:rsid w:val="00500F9C"/>
    <w:rsid w:val="00501800"/>
    <w:rsid w:val="00501C1F"/>
    <w:rsid w:val="00502816"/>
    <w:rsid w:val="00502ADA"/>
    <w:rsid w:val="0050650A"/>
    <w:rsid w:val="00506BCC"/>
    <w:rsid w:val="00507DA7"/>
    <w:rsid w:val="00510158"/>
    <w:rsid w:val="00511332"/>
    <w:rsid w:val="00512BEE"/>
    <w:rsid w:val="00513725"/>
    <w:rsid w:val="00515286"/>
    <w:rsid w:val="00516E0A"/>
    <w:rsid w:val="005178AE"/>
    <w:rsid w:val="00517E32"/>
    <w:rsid w:val="00520C8C"/>
    <w:rsid w:val="00521104"/>
    <w:rsid w:val="00521A80"/>
    <w:rsid w:val="00521FAC"/>
    <w:rsid w:val="005221AA"/>
    <w:rsid w:val="0052427B"/>
    <w:rsid w:val="005259F6"/>
    <w:rsid w:val="00526451"/>
    <w:rsid w:val="00527C62"/>
    <w:rsid w:val="00531974"/>
    <w:rsid w:val="00532A30"/>
    <w:rsid w:val="00534130"/>
    <w:rsid w:val="00534190"/>
    <w:rsid w:val="0053506C"/>
    <w:rsid w:val="005355B3"/>
    <w:rsid w:val="00536CD4"/>
    <w:rsid w:val="00537B26"/>
    <w:rsid w:val="0054098A"/>
    <w:rsid w:val="00540E1F"/>
    <w:rsid w:val="00541684"/>
    <w:rsid w:val="005417CD"/>
    <w:rsid w:val="005439CA"/>
    <w:rsid w:val="0054464D"/>
    <w:rsid w:val="0054619B"/>
    <w:rsid w:val="00546EC9"/>
    <w:rsid w:val="00550E7A"/>
    <w:rsid w:val="005511AB"/>
    <w:rsid w:val="00551492"/>
    <w:rsid w:val="00552DEF"/>
    <w:rsid w:val="00556B4B"/>
    <w:rsid w:val="00557C71"/>
    <w:rsid w:val="00560355"/>
    <w:rsid w:val="00560A93"/>
    <w:rsid w:val="00560AF4"/>
    <w:rsid w:val="0056346E"/>
    <w:rsid w:val="00564676"/>
    <w:rsid w:val="00564F26"/>
    <w:rsid w:val="005676D4"/>
    <w:rsid w:val="005719A0"/>
    <w:rsid w:val="00571BFB"/>
    <w:rsid w:val="00575856"/>
    <w:rsid w:val="005759A9"/>
    <w:rsid w:val="00576319"/>
    <w:rsid w:val="00582BBE"/>
    <w:rsid w:val="00582F68"/>
    <w:rsid w:val="00583718"/>
    <w:rsid w:val="0058434F"/>
    <w:rsid w:val="0058759A"/>
    <w:rsid w:val="00590AF8"/>
    <w:rsid w:val="00592954"/>
    <w:rsid w:val="005945B7"/>
    <w:rsid w:val="00594FF7"/>
    <w:rsid w:val="00595C71"/>
    <w:rsid w:val="005A04C7"/>
    <w:rsid w:val="005A2520"/>
    <w:rsid w:val="005A3173"/>
    <w:rsid w:val="005A3AA1"/>
    <w:rsid w:val="005A4B2C"/>
    <w:rsid w:val="005A6977"/>
    <w:rsid w:val="005A6BFD"/>
    <w:rsid w:val="005B06F7"/>
    <w:rsid w:val="005B1CB3"/>
    <w:rsid w:val="005B2BFB"/>
    <w:rsid w:val="005B37C9"/>
    <w:rsid w:val="005B3865"/>
    <w:rsid w:val="005B3AF8"/>
    <w:rsid w:val="005B4F9C"/>
    <w:rsid w:val="005B60E7"/>
    <w:rsid w:val="005B61A3"/>
    <w:rsid w:val="005C41F8"/>
    <w:rsid w:val="005C452F"/>
    <w:rsid w:val="005C46CD"/>
    <w:rsid w:val="005C50A8"/>
    <w:rsid w:val="005C71EC"/>
    <w:rsid w:val="005D0F5A"/>
    <w:rsid w:val="005D1B2C"/>
    <w:rsid w:val="005D2E7B"/>
    <w:rsid w:val="005D4CE1"/>
    <w:rsid w:val="005D52E3"/>
    <w:rsid w:val="005D5B0E"/>
    <w:rsid w:val="005D73DB"/>
    <w:rsid w:val="005E0A73"/>
    <w:rsid w:val="005E133A"/>
    <w:rsid w:val="005E4132"/>
    <w:rsid w:val="005E4835"/>
    <w:rsid w:val="005E5E02"/>
    <w:rsid w:val="005F0DC9"/>
    <w:rsid w:val="005F2EAA"/>
    <w:rsid w:val="005F4C5F"/>
    <w:rsid w:val="005F56F9"/>
    <w:rsid w:val="005F6B1E"/>
    <w:rsid w:val="00600242"/>
    <w:rsid w:val="00601532"/>
    <w:rsid w:val="006016DA"/>
    <w:rsid w:val="006019D8"/>
    <w:rsid w:val="00604140"/>
    <w:rsid w:val="00606C97"/>
    <w:rsid w:val="0060781B"/>
    <w:rsid w:val="00607F85"/>
    <w:rsid w:val="00610DE2"/>
    <w:rsid w:val="00611C54"/>
    <w:rsid w:val="006147A9"/>
    <w:rsid w:val="00615142"/>
    <w:rsid w:val="0061662E"/>
    <w:rsid w:val="0062042D"/>
    <w:rsid w:val="00620950"/>
    <w:rsid w:val="00620D4B"/>
    <w:rsid w:val="006210B4"/>
    <w:rsid w:val="006218F2"/>
    <w:rsid w:val="00622A73"/>
    <w:rsid w:val="0062695B"/>
    <w:rsid w:val="006313ED"/>
    <w:rsid w:val="00633ED8"/>
    <w:rsid w:val="00634C75"/>
    <w:rsid w:val="0063564D"/>
    <w:rsid w:val="00636D01"/>
    <w:rsid w:val="006370F4"/>
    <w:rsid w:val="00637932"/>
    <w:rsid w:val="00637E71"/>
    <w:rsid w:val="00644546"/>
    <w:rsid w:val="006454E9"/>
    <w:rsid w:val="00647597"/>
    <w:rsid w:val="00650472"/>
    <w:rsid w:val="00650615"/>
    <w:rsid w:val="00651AF8"/>
    <w:rsid w:val="00652141"/>
    <w:rsid w:val="006525B5"/>
    <w:rsid w:val="00654636"/>
    <w:rsid w:val="006552A9"/>
    <w:rsid w:val="00656327"/>
    <w:rsid w:val="00657652"/>
    <w:rsid w:val="00661EE6"/>
    <w:rsid w:val="00662C92"/>
    <w:rsid w:val="00664350"/>
    <w:rsid w:val="0066451C"/>
    <w:rsid w:val="00665449"/>
    <w:rsid w:val="006668DF"/>
    <w:rsid w:val="0066779C"/>
    <w:rsid w:val="006705A1"/>
    <w:rsid w:val="00671B2F"/>
    <w:rsid w:val="00672239"/>
    <w:rsid w:val="006734AE"/>
    <w:rsid w:val="00676ED2"/>
    <w:rsid w:val="00680394"/>
    <w:rsid w:val="00680424"/>
    <w:rsid w:val="0068170D"/>
    <w:rsid w:val="00682104"/>
    <w:rsid w:val="00682A0F"/>
    <w:rsid w:val="00682A1F"/>
    <w:rsid w:val="0069115E"/>
    <w:rsid w:val="00692ED7"/>
    <w:rsid w:val="00694436"/>
    <w:rsid w:val="0069453C"/>
    <w:rsid w:val="00694D2E"/>
    <w:rsid w:val="0069626B"/>
    <w:rsid w:val="006977AA"/>
    <w:rsid w:val="0069788D"/>
    <w:rsid w:val="006A088C"/>
    <w:rsid w:val="006A1DD2"/>
    <w:rsid w:val="006A23C3"/>
    <w:rsid w:val="006A3B59"/>
    <w:rsid w:val="006A633E"/>
    <w:rsid w:val="006A7903"/>
    <w:rsid w:val="006B1269"/>
    <w:rsid w:val="006B198B"/>
    <w:rsid w:val="006B1B02"/>
    <w:rsid w:val="006B1BD1"/>
    <w:rsid w:val="006B2768"/>
    <w:rsid w:val="006B2DC1"/>
    <w:rsid w:val="006B2F8D"/>
    <w:rsid w:val="006B62DA"/>
    <w:rsid w:val="006B6D54"/>
    <w:rsid w:val="006B6F47"/>
    <w:rsid w:val="006B7403"/>
    <w:rsid w:val="006B7CC7"/>
    <w:rsid w:val="006B7D5E"/>
    <w:rsid w:val="006C1DEF"/>
    <w:rsid w:val="006C2A82"/>
    <w:rsid w:val="006C5A68"/>
    <w:rsid w:val="006C7E80"/>
    <w:rsid w:val="006D50B1"/>
    <w:rsid w:val="006E09C6"/>
    <w:rsid w:val="006E0AF5"/>
    <w:rsid w:val="006E0BA8"/>
    <w:rsid w:val="006E38DA"/>
    <w:rsid w:val="006E5559"/>
    <w:rsid w:val="006E78BE"/>
    <w:rsid w:val="006F0199"/>
    <w:rsid w:val="006F08F7"/>
    <w:rsid w:val="006F1F48"/>
    <w:rsid w:val="006F210F"/>
    <w:rsid w:val="006F38C9"/>
    <w:rsid w:val="006F4570"/>
    <w:rsid w:val="006F45D7"/>
    <w:rsid w:val="006F6608"/>
    <w:rsid w:val="006F6FF3"/>
    <w:rsid w:val="006F72A9"/>
    <w:rsid w:val="00701857"/>
    <w:rsid w:val="00703F08"/>
    <w:rsid w:val="0070439D"/>
    <w:rsid w:val="00706329"/>
    <w:rsid w:val="007071C9"/>
    <w:rsid w:val="00707BF4"/>
    <w:rsid w:val="00711E93"/>
    <w:rsid w:val="00714014"/>
    <w:rsid w:val="007147DE"/>
    <w:rsid w:val="007179D6"/>
    <w:rsid w:val="007204F5"/>
    <w:rsid w:val="007205AC"/>
    <w:rsid w:val="00722145"/>
    <w:rsid w:val="0072270D"/>
    <w:rsid w:val="00723061"/>
    <w:rsid w:val="00723A71"/>
    <w:rsid w:val="00724FFF"/>
    <w:rsid w:val="00725B42"/>
    <w:rsid w:val="00726E66"/>
    <w:rsid w:val="00726FC2"/>
    <w:rsid w:val="00727F9E"/>
    <w:rsid w:val="00730076"/>
    <w:rsid w:val="00730845"/>
    <w:rsid w:val="00730F7F"/>
    <w:rsid w:val="00735C4E"/>
    <w:rsid w:val="00735C80"/>
    <w:rsid w:val="007361D6"/>
    <w:rsid w:val="00740047"/>
    <w:rsid w:val="00740662"/>
    <w:rsid w:val="007417F1"/>
    <w:rsid w:val="00742883"/>
    <w:rsid w:val="00742A2A"/>
    <w:rsid w:val="00744C98"/>
    <w:rsid w:val="00745942"/>
    <w:rsid w:val="00747390"/>
    <w:rsid w:val="007476FC"/>
    <w:rsid w:val="0075041B"/>
    <w:rsid w:val="00750FCD"/>
    <w:rsid w:val="00751D54"/>
    <w:rsid w:val="00751F55"/>
    <w:rsid w:val="00752F18"/>
    <w:rsid w:val="00753B79"/>
    <w:rsid w:val="0075650E"/>
    <w:rsid w:val="0076096C"/>
    <w:rsid w:val="00760C9A"/>
    <w:rsid w:val="00761E1B"/>
    <w:rsid w:val="0076315A"/>
    <w:rsid w:val="007652F9"/>
    <w:rsid w:val="00765FD9"/>
    <w:rsid w:val="0077042B"/>
    <w:rsid w:val="00770487"/>
    <w:rsid w:val="0077151A"/>
    <w:rsid w:val="007718BA"/>
    <w:rsid w:val="0077191A"/>
    <w:rsid w:val="00772F5E"/>
    <w:rsid w:val="00775645"/>
    <w:rsid w:val="00775977"/>
    <w:rsid w:val="00775A9D"/>
    <w:rsid w:val="00775DF8"/>
    <w:rsid w:val="007772E2"/>
    <w:rsid w:val="007778BA"/>
    <w:rsid w:val="00777DB9"/>
    <w:rsid w:val="00780648"/>
    <w:rsid w:val="00780A03"/>
    <w:rsid w:val="007815DD"/>
    <w:rsid w:val="00781655"/>
    <w:rsid w:val="0078583F"/>
    <w:rsid w:val="007877D6"/>
    <w:rsid w:val="00790420"/>
    <w:rsid w:val="007911A0"/>
    <w:rsid w:val="00791536"/>
    <w:rsid w:val="00791AB0"/>
    <w:rsid w:val="007920D9"/>
    <w:rsid w:val="00793849"/>
    <w:rsid w:val="00793C8A"/>
    <w:rsid w:val="00794E14"/>
    <w:rsid w:val="00794E4C"/>
    <w:rsid w:val="007A0BA5"/>
    <w:rsid w:val="007A0D3F"/>
    <w:rsid w:val="007A16F6"/>
    <w:rsid w:val="007A2400"/>
    <w:rsid w:val="007A4BB2"/>
    <w:rsid w:val="007A59DB"/>
    <w:rsid w:val="007A5D96"/>
    <w:rsid w:val="007B0A3E"/>
    <w:rsid w:val="007B108C"/>
    <w:rsid w:val="007B1452"/>
    <w:rsid w:val="007B34FD"/>
    <w:rsid w:val="007B35DD"/>
    <w:rsid w:val="007B5372"/>
    <w:rsid w:val="007B5857"/>
    <w:rsid w:val="007B61C0"/>
    <w:rsid w:val="007B6363"/>
    <w:rsid w:val="007B6883"/>
    <w:rsid w:val="007B70D6"/>
    <w:rsid w:val="007C0B85"/>
    <w:rsid w:val="007C1922"/>
    <w:rsid w:val="007C1B7E"/>
    <w:rsid w:val="007C3ED9"/>
    <w:rsid w:val="007C51AE"/>
    <w:rsid w:val="007C62E5"/>
    <w:rsid w:val="007C6654"/>
    <w:rsid w:val="007C7836"/>
    <w:rsid w:val="007D0A5A"/>
    <w:rsid w:val="007D121E"/>
    <w:rsid w:val="007D15C3"/>
    <w:rsid w:val="007D1708"/>
    <w:rsid w:val="007D24AB"/>
    <w:rsid w:val="007D42C0"/>
    <w:rsid w:val="007E0042"/>
    <w:rsid w:val="007E0E18"/>
    <w:rsid w:val="007E1662"/>
    <w:rsid w:val="007E2AE6"/>
    <w:rsid w:val="007E3FBD"/>
    <w:rsid w:val="007E430B"/>
    <w:rsid w:val="007E5F40"/>
    <w:rsid w:val="007E78A0"/>
    <w:rsid w:val="007E7D20"/>
    <w:rsid w:val="007F0E64"/>
    <w:rsid w:val="007F1AF7"/>
    <w:rsid w:val="007F26A3"/>
    <w:rsid w:val="007F53F0"/>
    <w:rsid w:val="007F56F0"/>
    <w:rsid w:val="007F7998"/>
    <w:rsid w:val="008003CE"/>
    <w:rsid w:val="00801182"/>
    <w:rsid w:val="00801A44"/>
    <w:rsid w:val="00802518"/>
    <w:rsid w:val="008025C7"/>
    <w:rsid w:val="00803F1B"/>
    <w:rsid w:val="00805D32"/>
    <w:rsid w:val="008068F0"/>
    <w:rsid w:val="00806A22"/>
    <w:rsid w:val="0081093A"/>
    <w:rsid w:val="00813F9E"/>
    <w:rsid w:val="00814004"/>
    <w:rsid w:val="008140CC"/>
    <w:rsid w:val="00820FA3"/>
    <w:rsid w:val="008213F4"/>
    <w:rsid w:val="00822591"/>
    <w:rsid w:val="00823796"/>
    <w:rsid w:val="00823893"/>
    <w:rsid w:val="008258C1"/>
    <w:rsid w:val="00827C2A"/>
    <w:rsid w:val="008302D4"/>
    <w:rsid w:val="00830C18"/>
    <w:rsid w:val="00830FAD"/>
    <w:rsid w:val="00831329"/>
    <w:rsid w:val="008316DA"/>
    <w:rsid w:val="008339C3"/>
    <w:rsid w:val="00833C23"/>
    <w:rsid w:val="00835C4C"/>
    <w:rsid w:val="0083601D"/>
    <w:rsid w:val="0084001D"/>
    <w:rsid w:val="0084014E"/>
    <w:rsid w:val="00840BDA"/>
    <w:rsid w:val="00840E25"/>
    <w:rsid w:val="00841051"/>
    <w:rsid w:val="00844088"/>
    <w:rsid w:val="00844A39"/>
    <w:rsid w:val="00850D82"/>
    <w:rsid w:val="00852010"/>
    <w:rsid w:val="00854624"/>
    <w:rsid w:val="008551DD"/>
    <w:rsid w:val="00855626"/>
    <w:rsid w:val="00860D41"/>
    <w:rsid w:val="00864AAB"/>
    <w:rsid w:val="00865E61"/>
    <w:rsid w:val="008704DD"/>
    <w:rsid w:val="0087053B"/>
    <w:rsid w:val="008716E5"/>
    <w:rsid w:val="008744E1"/>
    <w:rsid w:val="0087485C"/>
    <w:rsid w:val="00874FDC"/>
    <w:rsid w:val="0087556E"/>
    <w:rsid w:val="0087624D"/>
    <w:rsid w:val="00876424"/>
    <w:rsid w:val="0088320C"/>
    <w:rsid w:val="00884021"/>
    <w:rsid w:val="00886C29"/>
    <w:rsid w:val="00890080"/>
    <w:rsid w:val="00894EE8"/>
    <w:rsid w:val="00895C3D"/>
    <w:rsid w:val="008964C3"/>
    <w:rsid w:val="008969E1"/>
    <w:rsid w:val="008A0206"/>
    <w:rsid w:val="008A0900"/>
    <w:rsid w:val="008A0A2C"/>
    <w:rsid w:val="008A0B8A"/>
    <w:rsid w:val="008A4500"/>
    <w:rsid w:val="008A4EF6"/>
    <w:rsid w:val="008A5D9B"/>
    <w:rsid w:val="008A5DDC"/>
    <w:rsid w:val="008A71D6"/>
    <w:rsid w:val="008B0247"/>
    <w:rsid w:val="008B10A6"/>
    <w:rsid w:val="008B25AE"/>
    <w:rsid w:val="008B2776"/>
    <w:rsid w:val="008B27C5"/>
    <w:rsid w:val="008B440D"/>
    <w:rsid w:val="008B4CB6"/>
    <w:rsid w:val="008B6CCF"/>
    <w:rsid w:val="008C17F0"/>
    <w:rsid w:val="008C19DB"/>
    <w:rsid w:val="008C2DDB"/>
    <w:rsid w:val="008C3B65"/>
    <w:rsid w:val="008C50BB"/>
    <w:rsid w:val="008C5798"/>
    <w:rsid w:val="008C5C90"/>
    <w:rsid w:val="008C702C"/>
    <w:rsid w:val="008D1625"/>
    <w:rsid w:val="008D2FAE"/>
    <w:rsid w:val="008D30B2"/>
    <w:rsid w:val="008D30C1"/>
    <w:rsid w:val="008D33D0"/>
    <w:rsid w:val="008D3ACD"/>
    <w:rsid w:val="008D5B70"/>
    <w:rsid w:val="008D6135"/>
    <w:rsid w:val="008D696A"/>
    <w:rsid w:val="008E041D"/>
    <w:rsid w:val="008E0483"/>
    <w:rsid w:val="008E5E05"/>
    <w:rsid w:val="008E62A3"/>
    <w:rsid w:val="008E7135"/>
    <w:rsid w:val="008F1382"/>
    <w:rsid w:val="008F2BF7"/>
    <w:rsid w:val="008F3546"/>
    <w:rsid w:val="008F3613"/>
    <w:rsid w:val="00900190"/>
    <w:rsid w:val="0090078B"/>
    <w:rsid w:val="00900845"/>
    <w:rsid w:val="00900DF9"/>
    <w:rsid w:val="0090103B"/>
    <w:rsid w:val="0090199F"/>
    <w:rsid w:val="00901EBD"/>
    <w:rsid w:val="00901F28"/>
    <w:rsid w:val="009020B1"/>
    <w:rsid w:val="0090447C"/>
    <w:rsid w:val="00905C6F"/>
    <w:rsid w:val="00906AB0"/>
    <w:rsid w:val="00906F82"/>
    <w:rsid w:val="00910A73"/>
    <w:rsid w:val="009112BB"/>
    <w:rsid w:val="00912A43"/>
    <w:rsid w:val="00912E85"/>
    <w:rsid w:val="00913929"/>
    <w:rsid w:val="00913E78"/>
    <w:rsid w:val="009146BA"/>
    <w:rsid w:val="00914DF3"/>
    <w:rsid w:val="00916EFD"/>
    <w:rsid w:val="009174D4"/>
    <w:rsid w:val="0091764E"/>
    <w:rsid w:val="009208AD"/>
    <w:rsid w:val="0092266E"/>
    <w:rsid w:val="00922BD9"/>
    <w:rsid w:val="00922F42"/>
    <w:rsid w:val="00923D2B"/>
    <w:rsid w:val="00924621"/>
    <w:rsid w:val="009246B0"/>
    <w:rsid w:val="00924C4C"/>
    <w:rsid w:val="00932BF0"/>
    <w:rsid w:val="00935917"/>
    <w:rsid w:val="009378A9"/>
    <w:rsid w:val="00940BC9"/>
    <w:rsid w:val="009415F7"/>
    <w:rsid w:val="0094357F"/>
    <w:rsid w:val="009456FF"/>
    <w:rsid w:val="009523EC"/>
    <w:rsid w:val="00952A9A"/>
    <w:rsid w:val="00952D10"/>
    <w:rsid w:val="0095432B"/>
    <w:rsid w:val="00954AB7"/>
    <w:rsid w:val="00954F5B"/>
    <w:rsid w:val="0095511E"/>
    <w:rsid w:val="00955232"/>
    <w:rsid w:val="00955BAE"/>
    <w:rsid w:val="00955EAF"/>
    <w:rsid w:val="00961B4C"/>
    <w:rsid w:val="0096325C"/>
    <w:rsid w:val="00963B3F"/>
    <w:rsid w:val="00964244"/>
    <w:rsid w:val="0096437C"/>
    <w:rsid w:val="00964903"/>
    <w:rsid w:val="00964DAA"/>
    <w:rsid w:val="00964E74"/>
    <w:rsid w:val="009662B2"/>
    <w:rsid w:val="00967787"/>
    <w:rsid w:val="009703E1"/>
    <w:rsid w:val="009715FC"/>
    <w:rsid w:val="00971DE0"/>
    <w:rsid w:val="009725A3"/>
    <w:rsid w:val="0097390B"/>
    <w:rsid w:val="00974A17"/>
    <w:rsid w:val="0097552D"/>
    <w:rsid w:val="00975934"/>
    <w:rsid w:val="0097747A"/>
    <w:rsid w:val="00980858"/>
    <w:rsid w:val="00982544"/>
    <w:rsid w:val="00982FCB"/>
    <w:rsid w:val="00983044"/>
    <w:rsid w:val="00984123"/>
    <w:rsid w:val="00984322"/>
    <w:rsid w:val="00984797"/>
    <w:rsid w:val="00985207"/>
    <w:rsid w:val="00985361"/>
    <w:rsid w:val="009855E9"/>
    <w:rsid w:val="00990B29"/>
    <w:rsid w:val="0099241D"/>
    <w:rsid w:val="00992E83"/>
    <w:rsid w:val="00993CD6"/>
    <w:rsid w:val="00995570"/>
    <w:rsid w:val="00995E24"/>
    <w:rsid w:val="00997467"/>
    <w:rsid w:val="009A33B5"/>
    <w:rsid w:val="009A3962"/>
    <w:rsid w:val="009A3B0A"/>
    <w:rsid w:val="009A41C2"/>
    <w:rsid w:val="009A4CD6"/>
    <w:rsid w:val="009A4DF5"/>
    <w:rsid w:val="009A5790"/>
    <w:rsid w:val="009A60A2"/>
    <w:rsid w:val="009A62E6"/>
    <w:rsid w:val="009A66C6"/>
    <w:rsid w:val="009A7650"/>
    <w:rsid w:val="009A7EB2"/>
    <w:rsid w:val="009B2680"/>
    <w:rsid w:val="009B48F3"/>
    <w:rsid w:val="009B55F4"/>
    <w:rsid w:val="009B5F1A"/>
    <w:rsid w:val="009C25C8"/>
    <w:rsid w:val="009C382C"/>
    <w:rsid w:val="009C4ED5"/>
    <w:rsid w:val="009C56AB"/>
    <w:rsid w:val="009C5754"/>
    <w:rsid w:val="009C65A1"/>
    <w:rsid w:val="009C702A"/>
    <w:rsid w:val="009C7480"/>
    <w:rsid w:val="009D139C"/>
    <w:rsid w:val="009D2D31"/>
    <w:rsid w:val="009D497A"/>
    <w:rsid w:val="009D50BF"/>
    <w:rsid w:val="009D566E"/>
    <w:rsid w:val="009D61A8"/>
    <w:rsid w:val="009D61D7"/>
    <w:rsid w:val="009D7CC5"/>
    <w:rsid w:val="009E5ABB"/>
    <w:rsid w:val="009E7130"/>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06BB0"/>
    <w:rsid w:val="00A076CF"/>
    <w:rsid w:val="00A11154"/>
    <w:rsid w:val="00A13A73"/>
    <w:rsid w:val="00A1430F"/>
    <w:rsid w:val="00A15FC0"/>
    <w:rsid w:val="00A162E6"/>
    <w:rsid w:val="00A163C7"/>
    <w:rsid w:val="00A172B9"/>
    <w:rsid w:val="00A201C2"/>
    <w:rsid w:val="00A22E1F"/>
    <w:rsid w:val="00A24499"/>
    <w:rsid w:val="00A24E15"/>
    <w:rsid w:val="00A26203"/>
    <w:rsid w:val="00A269FE"/>
    <w:rsid w:val="00A318DA"/>
    <w:rsid w:val="00A32A4E"/>
    <w:rsid w:val="00A35745"/>
    <w:rsid w:val="00A35A22"/>
    <w:rsid w:val="00A37164"/>
    <w:rsid w:val="00A37BBB"/>
    <w:rsid w:val="00A40164"/>
    <w:rsid w:val="00A42550"/>
    <w:rsid w:val="00A45ADA"/>
    <w:rsid w:val="00A45B7A"/>
    <w:rsid w:val="00A45C6C"/>
    <w:rsid w:val="00A479D4"/>
    <w:rsid w:val="00A503C8"/>
    <w:rsid w:val="00A50A4E"/>
    <w:rsid w:val="00A5183A"/>
    <w:rsid w:val="00A52C08"/>
    <w:rsid w:val="00A54E91"/>
    <w:rsid w:val="00A563CA"/>
    <w:rsid w:val="00A57A62"/>
    <w:rsid w:val="00A618E0"/>
    <w:rsid w:val="00A62EC2"/>
    <w:rsid w:val="00A63784"/>
    <w:rsid w:val="00A63930"/>
    <w:rsid w:val="00A63C84"/>
    <w:rsid w:val="00A65169"/>
    <w:rsid w:val="00A67C2A"/>
    <w:rsid w:val="00A74DB8"/>
    <w:rsid w:val="00A76060"/>
    <w:rsid w:val="00A76716"/>
    <w:rsid w:val="00A76887"/>
    <w:rsid w:val="00A768D6"/>
    <w:rsid w:val="00A7706E"/>
    <w:rsid w:val="00A77A17"/>
    <w:rsid w:val="00A8198E"/>
    <w:rsid w:val="00A84866"/>
    <w:rsid w:val="00A85A70"/>
    <w:rsid w:val="00A869DB"/>
    <w:rsid w:val="00A86C63"/>
    <w:rsid w:val="00A87021"/>
    <w:rsid w:val="00A910DD"/>
    <w:rsid w:val="00A92EBE"/>
    <w:rsid w:val="00A93CFE"/>
    <w:rsid w:val="00A941A3"/>
    <w:rsid w:val="00A94922"/>
    <w:rsid w:val="00A97A1F"/>
    <w:rsid w:val="00A97F4C"/>
    <w:rsid w:val="00AA096D"/>
    <w:rsid w:val="00AA211E"/>
    <w:rsid w:val="00AA4111"/>
    <w:rsid w:val="00AA509C"/>
    <w:rsid w:val="00AA5488"/>
    <w:rsid w:val="00AA6BE3"/>
    <w:rsid w:val="00AA7261"/>
    <w:rsid w:val="00AB0363"/>
    <w:rsid w:val="00AB03D0"/>
    <w:rsid w:val="00AB4939"/>
    <w:rsid w:val="00AB6967"/>
    <w:rsid w:val="00AB75FB"/>
    <w:rsid w:val="00AB7FCE"/>
    <w:rsid w:val="00AC031A"/>
    <w:rsid w:val="00AC04C5"/>
    <w:rsid w:val="00AC06D4"/>
    <w:rsid w:val="00AC29F0"/>
    <w:rsid w:val="00AC3F2D"/>
    <w:rsid w:val="00AC457F"/>
    <w:rsid w:val="00AC4827"/>
    <w:rsid w:val="00AC55D8"/>
    <w:rsid w:val="00AC749B"/>
    <w:rsid w:val="00AC7D92"/>
    <w:rsid w:val="00AE1208"/>
    <w:rsid w:val="00AE1430"/>
    <w:rsid w:val="00AE1E54"/>
    <w:rsid w:val="00AE4827"/>
    <w:rsid w:val="00AE6ACE"/>
    <w:rsid w:val="00AE7706"/>
    <w:rsid w:val="00AF2D54"/>
    <w:rsid w:val="00AF34BA"/>
    <w:rsid w:val="00AF3C0E"/>
    <w:rsid w:val="00AF5C12"/>
    <w:rsid w:val="00AF6675"/>
    <w:rsid w:val="00AF7361"/>
    <w:rsid w:val="00AF78A6"/>
    <w:rsid w:val="00AF7C02"/>
    <w:rsid w:val="00B00961"/>
    <w:rsid w:val="00B0542E"/>
    <w:rsid w:val="00B07113"/>
    <w:rsid w:val="00B07178"/>
    <w:rsid w:val="00B10703"/>
    <w:rsid w:val="00B1285B"/>
    <w:rsid w:val="00B14997"/>
    <w:rsid w:val="00B21A25"/>
    <w:rsid w:val="00B224DD"/>
    <w:rsid w:val="00B22854"/>
    <w:rsid w:val="00B2337C"/>
    <w:rsid w:val="00B24652"/>
    <w:rsid w:val="00B24696"/>
    <w:rsid w:val="00B246AC"/>
    <w:rsid w:val="00B251E3"/>
    <w:rsid w:val="00B25201"/>
    <w:rsid w:val="00B252B5"/>
    <w:rsid w:val="00B25ABC"/>
    <w:rsid w:val="00B27352"/>
    <w:rsid w:val="00B30A9F"/>
    <w:rsid w:val="00B30AD7"/>
    <w:rsid w:val="00B32C17"/>
    <w:rsid w:val="00B33932"/>
    <w:rsid w:val="00B3640A"/>
    <w:rsid w:val="00B366E3"/>
    <w:rsid w:val="00B371ED"/>
    <w:rsid w:val="00B372EB"/>
    <w:rsid w:val="00B37EAD"/>
    <w:rsid w:val="00B40052"/>
    <w:rsid w:val="00B41DCF"/>
    <w:rsid w:val="00B43C1A"/>
    <w:rsid w:val="00B44708"/>
    <w:rsid w:val="00B44BE6"/>
    <w:rsid w:val="00B457ED"/>
    <w:rsid w:val="00B46AB1"/>
    <w:rsid w:val="00B4748C"/>
    <w:rsid w:val="00B4757B"/>
    <w:rsid w:val="00B476AE"/>
    <w:rsid w:val="00B503CB"/>
    <w:rsid w:val="00B51601"/>
    <w:rsid w:val="00B518B1"/>
    <w:rsid w:val="00B5196F"/>
    <w:rsid w:val="00B52402"/>
    <w:rsid w:val="00B5273A"/>
    <w:rsid w:val="00B53844"/>
    <w:rsid w:val="00B53DF4"/>
    <w:rsid w:val="00B55039"/>
    <w:rsid w:val="00B55823"/>
    <w:rsid w:val="00B55A48"/>
    <w:rsid w:val="00B56299"/>
    <w:rsid w:val="00B57483"/>
    <w:rsid w:val="00B60A58"/>
    <w:rsid w:val="00B60C7E"/>
    <w:rsid w:val="00B62A5C"/>
    <w:rsid w:val="00B636D5"/>
    <w:rsid w:val="00B63B6B"/>
    <w:rsid w:val="00B64233"/>
    <w:rsid w:val="00B706E1"/>
    <w:rsid w:val="00B70EB6"/>
    <w:rsid w:val="00B714C5"/>
    <w:rsid w:val="00B72747"/>
    <w:rsid w:val="00B75F61"/>
    <w:rsid w:val="00B765A4"/>
    <w:rsid w:val="00B76896"/>
    <w:rsid w:val="00B7690F"/>
    <w:rsid w:val="00B779AC"/>
    <w:rsid w:val="00B80E83"/>
    <w:rsid w:val="00B81E1B"/>
    <w:rsid w:val="00B81F24"/>
    <w:rsid w:val="00B823CE"/>
    <w:rsid w:val="00B8275E"/>
    <w:rsid w:val="00B85944"/>
    <w:rsid w:val="00B8718B"/>
    <w:rsid w:val="00B94C07"/>
    <w:rsid w:val="00B94D6F"/>
    <w:rsid w:val="00B95C28"/>
    <w:rsid w:val="00B95FA3"/>
    <w:rsid w:val="00B97202"/>
    <w:rsid w:val="00B9740D"/>
    <w:rsid w:val="00B97760"/>
    <w:rsid w:val="00BA0B95"/>
    <w:rsid w:val="00BA0F95"/>
    <w:rsid w:val="00BA1E83"/>
    <w:rsid w:val="00BA2BA8"/>
    <w:rsid w:val="00BA34F1"/>
    <w:rsid w:val="00BA457E"/>
    <w:rsid w:val="00BA4F6D"/>
    <w:rsid w:val="00BA57BF"/>
    <w:rsid w:val="00BA759F"/>
    <w:rsid w:val="00BB0902"/>
    <w:rsid w:val="00BB1A84"/>
    <w:rsid w:val="00BB26F9"/>
    <w:rsid w:val="00BB2BF7"/>
    <w:rsid w:val="00BB34D3"/>
    <w:rsid w:val="00BB45BE"/>
    <w:rsid w:val="00BB48D7"/>
    <w:rsid w:val="00BB4FCA"/>
    <w:rsid w:val="00BB5728"/>
    <w:rsid w:val="00BB6E64"/>
    <w:rsid w:val="00BB75F3"/>
    <w:rsid w:val="00BB7D6A"/>
    <w:rsid w:val="00BC05F1"/>
    <w:rsid w:val="00BC332A"/>
    <w:rsid w:val="00BC368A"/>
    <w:rsid w:val="00BC48E9"/>
    <w:rsid w:val="00BC5686"/>
    <w:rsid w:val="00BC780D"/>
    <w:rsid w:val="00BC7AAE"/>
    <w:rsid w:val="00BC7C06"/>
    <w:rsid w:val="00BD1693"/>
    <w:rsid w:val="00BD1F89"/>
    <w:rsid w:val="00BD353A"/>
    <w:rsid w:val="00BD6C7F"/>
    <w:rsid w:val="00BD70A1"/>
    <w:rsid w:val="00BD74AE"/>
    <w:rsid w:val="00BD7A98"/>
    <w:rsid w:val="00BE1C01"/>
    <w:rsid w:val="00BE608B"/>
    <w:rsid w:val="00BE7B4C"/>
    <w:rsid w:val="00BE7C41"/>
    <w:rsid w:val="00BF0305"/>
    <w:rsid w:val="00BF0FA4"/>
    <w:rsid w:val="00BF15BF"/>
    <w:rsid w:val="00BF18E3"/>
    <w:rsid w:val="00BF1E9B"/>
    <w:rsid w:val="00BF2C47"/>
    <w:rsid w:val="00BF317D"/>
    <w:rsid w:val="00BF358E"/>
    <w:rsid w:val="00BF43FA"/>
    <w:rsid w:val="00BF446B"/>
    <w:rsid w:val="00C04336"/>
    <w:rsid w:val="00C0605D"/>
    <w:rsid w:val="00C066D0"/>
    <w:rsid w:val="00C06C43"/>
    <w:rsid w:val="00C07705"/>
    <w:rsid w:val="00C12C51"/>
    <w:rsid w:val="00C13795"/>
    <w:rsid w:val="00C142F0"/>
    <w:rsid w:val="00C14FA0"/>
    <w:rsid w:val="00C156E7"/>
    <w:rsid w:val="00C16617"/>
    <w:rsid w:val="00C16F60"/>
    <w:rsid w:val="00C17101"/>
    <w:rsid w:val="00C219CA"/>
    <w:rsid w:val="00C22D3E"/>
    <w:rsid w:val="00C24910"/>
    <w:rsid w:val="00C25224"/>
    <w:rsid w:val="00C25A58"/>
    <w:rsid w:val="00C27EB2"/>
    <w:rsid w:val="00C3307F"/>
    <w:rsid w:val="00C33296"/>
    <w:rsid w:val="00C34932"/>
    <w:rsid w:val="00C34B62"/>
    <w:rsid w:val="00C34F44"/>
    <w:rsid w:val="00C3510B"/>
    <w:rsid w:val="00C36E0E"/>
    <w:rsid w:val="00C371D3"/>
    <w:rsid w:val="00C373BB"/>
    <w:rsid w:val="00C433F3"/>
    <w:rsid w:val="00C437CA"/>
    <w:rsid w:val="00C4618D"/>
    <w:rsid w:val="00C535B9"/>
    <w:rsid w:val="00C53C41"/>
    <w:rsid w:val="00C556F1"/>
    <w:rsid w:val="00C557DC"/>
    <w:rsid w:val="00C57611"/>
    <w:rsid w:val="00C5767B"/>
    <w:rsid w:val="00C57795"/>
    <w:rsid w:val="00C61CD7"/>
    <w:rsid w:val="00C6319D"/>
    <w:rsid w:val="00C64AEA"/>
    <w:rsid w:val="00C655C0"/>
    <w:rsid w:val="00C70157"/>
    <w:rsid w:val="00C70CCC"/>
    <w:rsid w:val="00C7154A"/>
    <w:rsid w:val="00C718ED"/>
    <w:rsid w:val="00C71C03"/>
    <w:rsid w:val="00C727F9"/>
    <w:rsid w:val="00C73B03"/>
    <w:rsid w:val="00C740BB"/>
    <w:rsid w:val="00C75FF4"/>
    <w:rsid w:val="00C8023B"/>
    <w:rsid w:val="00C813E9"/>
    <w:rsid w:val="00C83353"/>
    <w:rsid w:val="00C83565"/>
    <w:rsid w:val="00C83979"/>
    <w:rsid w:val="00C86849"/>
    <w:rsid w:val="00C8726B"/>
    <w:rsid w:val="00C94EA4"/>
    <w:rsid w:val="00C955D1"/>
    <w:rsid w:val="00C958BA"/>
    <w:rsid w:val="00C960C7"/>
    <w:rsid w:val="00CA002B"/>
    <w:rsid w:val="00CA3D95"/>
    <w:rsid w:val="00CA6BBB"/>
    <w:rsid w:val="00CA725A"/>
    <w:rsid w:val="00CA740E"/>
    <w:rsid w:val="00CB6D8F"/>
    <w:rsid w:val="00CB793B"/>
    <w:rsid w:val="00CB7D77"/>
    <w:rsid w:val="00CC124F"/>
    <w:rsid w:val="00CC57D9"/>
    <w:rsid w:val="00CC7007"/>
    <w:rsid w:val="00CD09C5"/>
    <w:rsid w:val="00CD127C"/>
    <w:rsid w:val="00CD14DD"/>
    <w:rsid w:val="00CD2163"/>
    <w:rsid w:val="00CD2474"/>
    <w:rsid w:val="00CD43C1"/>
    <w:rsid w:val="00CD7C1E"/>
    <w:rsid w:val="00CE146D"/>
    <w:rsid w:val="00CE1F14"/>
    <w:rsid w:val="00CE2AAD"/>
    <w:rsid w:val="00CE382A"/>
    <w:rsid w:val="00CE46D3"/>
    <w:rsid w:val="00CE56F8"/>
    <w:rsid w:val="00CE5EA7"/>
    <w:rsid w:val="00CE6069"/>
    <w:rsid w:val="00CE74D0"/>
    <w:rsid w:val="00CE77DE"/>
    <w:rsid w:val="00CF1975"/>
    <w:rsid w:val="00CF4603"/>
    <w:rsid w:val="00CF462F"/>
    <w:rsid w:val="00CF6869"/>
    <w:rsid w:val="00CF6F2B"/>
    <w:rsid w:val="00CF7040"/>
    <w:rsid w:val="00CF756A"/>
    <w:rsid w:val="00D00288"/>
    <w:rsid w:val="00D02439"/>
    <w:rsid w:val="00D04D3D"/>
    <w:rsid w:val="00D0638C"/>
    <w:rsid w:val="00D07525"/>
    <w:rsid w:val="00D10091"/>
    <w:rsid w:val="00D11013"/>
    <w:rsid w:val="00D12193"/>
    <w:rsid w:val="00D13C5E"/>
    <w:rsid w:val="00D15656"/>
    <w:rsid w:val="00D161BB"/>
    <w:rsid w:val="00D17C00"/>
    <w:rsid w:val="00D20545"/>
    <w:rsid w:val="00D2075E"/>
    <w:rsid w:val="00D21EF4"/>
    <w:rsid w:val="00D22C55"/>
    <w:rsid w:val="00D23184"/>
    <w:rsid w:val="00D24134"/>
    <w:rsid w:val="00D24305"/>
    <w:rsid w:val="00D24D5B"/>
    <w:rsid w:val="00D2573A"/>
    <w:rsid w:val="00D320C5"/>
    <w:rsid w:val="00D33626"/>
    <w:rsid w:val="00D34A6A"/>
    <w:rsid w:val="00D4054F"/>
    <w:rsid w:val="00D40C30"/>
    <w:rsid w:val="00D41FC8"/>
    <w:rsid w:val="00D4373A"/>
    <w:rsid w:val="00D440D2"/>
    <w:rsid w:val="00D44916"/>
    <w:rsid w:val="00D44A90"/>
    <w:rsid w:val="00D44E26"/>
    <w:rsid w:val="00D45412"/>
    <w:rsid w:val="00D46006"/>
    <w:rsid w:val="00D4708A"/>
    <w:rsid w:val="00D470F1"/>
    <w:rsid w:val="00D5098F"/>
    <w:rsid w:val="00D510B6"/>
    <w:rsid w:val="00D517B8"/>
    <w:rsid w:val="00D51DF6"/>
    <w:rsid w:val="00D53CE9"/>
    <w:rsid w:val="00D54D7C"/>
    <w:rsid w:val="00D55E4D"/>
    <w:rsid w:val="00D628D8"/>
    <w:rsid w:val="00D6302D"/>
    <w:rsid w:val="00D63F23"/>
    <w:rsid w:val="00D64049"/>
    <w:rsid w:val="00D65DAF"/>
    <w:rsid w:val="00D65E77"/>
    <w:rsid w:val="00D66165"/>
    <w:rsid w:val="00D700C1"/>
    <w:rsid w:val="00D7150E"/>
    <w:rsid w:val="00D71540"/>
    <w:rsid w:val="00D736FC"/>
    <w:rsid w:val="00D74DD4"/>
    <w:rsid w:val="00D750A1"/>
    <w:rsid w:val="00D762A0"/>
    <w:rsid w:val="00D765E8"/>
    <w:rsid w:val="00D768C1"/>
    <w:rsid w:val="00D779E0"/>
    <w:rsid w:val="00D80576"/>
    <w:rsid w:val="00D8061A"/>
    <w:rsid w:val="00D809AC"/>
    <w:rsid w:val="00D81357"/>
    <w:rsid w:val="00D84161"/>
    <w:rsid w:val="00D84813"/>
    <w:rsid w:val="00D849E9"/>
    <w:rsid w:val="00D856A9"/>
    <w:rsid w:val="00D85D60"/>
    <w:rsid w:val="00D874C4"/>
    <w:rsid w:val="00D9135E"/>
    <w:rsid w:val="00D9257B"/>
    <w:rsid w:val="00D944B3"/>
    <w:rsid w:val="00D94F51"/>
    <w:rsid w:val="00D97ABE"/>
    <w:rsid w:val="00D97C90"/>
    <w:rsid w:val="00DA0AD5"/>
    <w:rsid w:val="00DA0D9F"/>
    <w:rsid w:val="00DA10D0"/>
    <w:rsid w:val="00DA2439"/>
    <w:rsid w:val="00DA34B3"/>
    <w:rsid w:val="00DA61CC"/>
    <w:rsid w:val="00DA6834"/>
    <w:rsid w:val="00DB3503"/>
    <w:rsid w:val="00DB3EFC"/>
    <w:rsid w:val="00DB5272"/>
    <w:rsid w:val="00DB54EB"/>
    <w:rsid w:val="00DB5A3F"/>
    <w:rsid w:val="00DB5D39"/>
    <w:rsid w:val="00DB7F4C"/>
    <w:rsid w:val="00DC19BC"/>
    <w:rsid w:val="00DC1B0D"/>
    <w:rsid w:val="00DC27C6"/>
    <w:rsid w:val="00DC3C48"/>
    <w:rsid w:val="00DC5316"/>
    <w:rsid w:val="00DD04EC"/>
    <w:rsid w:val="00DD0BC0"/>
    <w:rsid w:val="00DD2A77"/>
    <w:rsid w:val="00DD609E"/>
    <w:rsid w:val="00DE0FD4"/>
    <w:rsid w:val="00DE1516"/>
    <w:rsid w:val="00DE19DA"/>
    <w:rsid w:val="00DE1E04"/>
    <w:rsid w:val="00DE28FC"/>
    <w:rsid w:val="00DE43B6"/>
    <w:rsid w:val="00DE449E"/>
    <w:rsid w:val="00DE47FC"/>
    <w:rsid w:val="00DE5B5C"/>
    <w:rsid w:val="00DF16AC"/>
    <w:rsid w:val="00DF1D5B"/>
    <w:rsid w:val="00DF2274"/>
    <w:rsid w:val="00DF2FBD"/>
    <w:rsid w:val="00DF6A11"/>
    <w:rsid w:val="00DF7022"/>
    <w:rsid w:val="00E01A62"/>
    <w:rsid w:val="00E046CA"/>
    <w:rsid w:val="00E04DE3"/>
    <w:rsid w:val="00E054FA"/>
    <w:rsid w:val="00E05B28"/>
    <w:rsid w:val="00E074EB"/>
    <w:rsid w:val="00E103A8"/>
    <w:rsid w:val="00E10830"/>
    <w:rsid w:val="00E10F7B"/>
    <w:rsid w:val="00E112A7"/>
    <w:rsid w:val="00E13BC8"/>
    <w:rsid w:val="00E14B26"/>
    <w:rsid w:val="00E158E0"/>
    <w:rsid w:val="00E15B6E"/>
    <w:rsid w:val="00E15B95"/>
    <w:rsid w:val="00E165A7"/>
    <w:rsid w:val="00E2011C"/>
    <w:rsid w:val="00E20EF5"/>
    <w:rsid w:val="00E259B0"/>
    <w:rsid w:val="00E25AA5"/>
    <w:rsid w:val="00E27858"/>
    <w:rsid w:val="00E32255"/>
    <w:rsid w:val="00E3272A"/>
    <w:rsid w:val="00E32E86"/>
    <w:rsid w:val="00E341D2"/>
    <w:rsid w:val="00E34761"/>
    <w:rsid w:val="00E359F5"/>
    <w:rsid w:val="00E36F83"/>
    <w:rsid w:val="00E407EE"/>
    <w:rsid w:val="00E40C61"/>
    <w:rsid w:val="00E41D21"/>
    <w:rsid w:val="00E42652"/>
    <w:rsid w:val="00E45378"/>
    <w:rsid w:val="00E4542A"/>
    <w:rsid w:val="00E472CD"/>
    <w:rsid w:val="00E479BE"/>
    <w:rsid w:val="00E50309"/>
    <w:rsid w:val="00E506C1"/>
    <w:rsid w:val="00E512B7"/>
    <w:rsid w:val="00E5161F"/>
    <w:rsid w:val="00E5247D"/>
    <w:rsid w:val="00E52488"/>
    <w:rsid w:val="00E52B88"/>
    <w:rsid w:val="00E539C6"/>
    <w:rsid w:val="00E54DEE"/>
    <w:rsid w:val="00E56260"/>
    <w:rsid w:val="00E56655"/>
    <w:rsid w:val="00E56FBB"/>
    <w:rsid w:val="00E57C26"/>
    <w:rsid w:val="00E646D2"/>
    <w:rsid w:val="00E64A4E"/>
    <w:rsid w:val="00E64C77"/>
    <w:rsid w:val="00E6663B"/>
    <w:rsid w:val="00E67687"/>
    <w:rsid w:val="00E712C5"/>
    <w:rsid w:val="00E733F9"/>
    <w:rsid w:val="00E74460"/>
    <w:rsid w:val="00E74E94"/>
    <w:rsid w:val="00E75B23"/>
    <w:rsid w:val="00E7701E"/>
    <w:rsid w:val="00E77A56"/>
    <w:rsid w:val="00E80131"/>
    <w:rsid w:val="00E80289"/>
    <w:rsid w:val="00E80BD8"/>
    <w:rsid w:val="00E826F4"/>
    <w:rsid w:val="00E82A97"/>
    <w:rsid w:val="00E83068"/>
    <w:rsid w:val="00E830AB"/>
    <w:rsid w:val="00E85716"/>
    <w:rsid w:val="00E85B6E"/>
    <w:rsid w:val="00E85CFE"/>
    <w:rsid w:val="00E87315"/>
    <w:rsid w:val="00E93A0F"/>
    <w:rsid w:val="00E93ECB"/>
    <w:rsid w:val="00E94244"/>
    <w:rsid w:val="00E95BA5"/>
    <w:rsid w:val="00E97502"/>
    <w:rsid w:val="00EA03B7"/>
    <w:rsid w:val="00EA3F38"/>
    <w:rsid w:val="00EA5053"/>
    <w:rsid w:val="00EA52CC"/>
    <w:rsid w:val="00EA6DF0"/>
    <w:rsid w:val="00EB0DF0"/>
    <w:rsid w:val="00EB2071"/>
    <w:rsid w:val="00EB3633"/>
    <w:rsid w:val="00EB59B6"/>
    <w:rsid w:val="00EB5F42"/>
    <w:rsid w:val="00EB64B0"/>
    <w:rsid w:val="00EB693D"/>
    <w:rsid w:val="00EB79FB"/>
    <w:rsid w:val="00EB7BA8"/>
    <w:rsid w:val="00EC08AA"/>
    <w:rsid w:val="00EC08CB"/>
    <w:rsid w:val="00EC1216"/>
    <w:rsid w:val="00EC1447"/>
    <w:rsid w:val="00EC179A"/>
    <w:rsid w:val="00EC2006"/>
    <w:rsid w:val="00EC21F8"/>
    <w:rsid w:val="00EC2E0B"/>
    <w:rsid w:val="00EC348E"/>
    <w:rsid w:val="00EC37C9"/>
    <w:rsid w:val="00EC39A6"/>
    <w:rsid w:val="00EC3BD3"/>
    <w:rsid w:val="00EC3E8D"/>
    <w:rsid w:val="00EC5C1F"/>
    <w:rsid w:val="00EC6D15"/>
    <w:rsid w:val="00EC7490"/>
    <w:rsid w:val="00ED1198"/>
    <w:rsid w:val="00ED168F"/>
    <w:rsid w:val="00ED1F7F"/>
    <w:rsid w:val="00ED4EF8"/>
    <w:rsid w:val="00ED6332"/>
    <w:rsid w:val="00ED7F7F"/>
    <w:rsid w:val="00EE13AF"/>
    <w:rsid w:val="00EE19C7"/>
    <w:rsid w:val="00EE2F6E"/>
    <w:rsid w:val="00EE3869"/>
    <w:rsid w:val="00EE3D20"/>
    <w:rsid w:val="00EE7566"/>
    <w:rsid w:val="00EF0461"/>
    <w:rsid w:val="00EF084C"/>
    <w:rsid w:val="00EF0BE6"/>
    <w:rsid w:val="00EF221B"/>
    <w:rsid w:val="00EF3AE0"/>
    <w:rsid w:val="00EF40DF"/>
    <w:rsid w:val="00F00EAE"/>
    <w:rsid w:val="00F01C0D"/>
    <w:rsid w:val="00F02341"/>
    <w:rsid w:val="00F02E6E"/>
    <w:rsid w:val="00F038B8"/>
    <w:rsid w:val="00F03E59"/>
    <w:rsid w:val="00F04716"/>
    <w:rsid w:val="00F05F3F"/>
    <w:rsid w:val="00F06668"/>
    <w:rsid w:val="00F06C12"/>
    <w:rsid w:val="00F107A7"/>
    <w:rsid w:val="00F10AC9"/>
    <w:rsid w:val="00F11180"/>
    <w:rsid w:val="00F115F4"/>
    <w:rsid w:val="00F11AB4"/>
    <w:rsid w:val="00F11FB7"/>
    <w:rsid w:val="00F15342"/>
    <w:rsid w:val="00F15571"/>
    <w:rsid w:val="00F21450"/>
    <w:rsid w:val="00F22C01"/>
    <w:rsid w:val="00F23D81"/>
    <w:rsid w:val="00F27270"/>
    <w:rsid w:val="00F303B1"/>
    <w:rsid w:val="00F308A8"/>
    <w:rsid w:val="00F32CBF"/>
    <w:rsid w:val="00F336E2"/>
    <w:rsid w:val="00F34734"/>
    <w:rsid w:val="00F35B62"/>
    <w:rsid w:val="00F36544"/>
    <w:rsid w:val="00F369E4"/>
    <w:rsid w:val="00F37B77"/>
    <w:rsid w:val="00F37B84"/>
    <w:rsid w:val="00F40A3F"/>
    <w:rsid w:val="00F4109C"/>
    <w:rsid w:val="00F42C32"/>
    <w:rsid w:val="00F42FBB"/>
    <w:rsid w:val="00F43E9B"/>
    <w:rsid w:val="00F45948"/>
    <w:rsid w:val="00F46672"/>
    <w:rsid w:val="00F50752"/>
    <w:rsid w:val="00F517EB"/>
    <w:rsid w:val="00F52106"/>
    <w:rsid w:val="00F525F3"/>
    <w:rsid w:val="00F527DD"/>
    <w:rsid w:val="00F5468A"/>
    <w:rsid w:val="00F548FD"/>
    <w:rsid w:val="00F6050F"/>
    <w:rsid w:val="00F6061F"/>
    <w:rsid w:val="00F61E8D"/>
    <w:rsid w:val="00F6233C"/>
    <w:rsid w:val="00F62C91"/>
    <w:rsid w:val="00F64E3A"/>
    <w:rsid w:val="00F66734"/>
    <w:rsid w:val="00F66B69"/>
    <w:rsid w:val="00F66F8D"/>
    <w:rsid w:val="00F6791A"/>
    <w:rsid w:val="00F7245D"/>
    <w:rsid w:val="00F7304A"/>
    <w:rsid w:val="00F73A0F"/>
    <w:rsid w:val="00F75E0B"/>
    <w:rsid w:val="00F760F4"/>
    <w:rsid w:val="00F76158"/>
    <w:rsid w:val="00F83CAD"/>
    <w:rsid w:val="00F83FD5"/>
    <w:rsid w:val="00F843FA"/>
    <w:rsid w:val="00F84F2C"/>
    <w:rsid w:val="00F863E5"/>
    <w:rsid w:val="00F87FF5"/>
    <w:rsid w:val="00F905C2"/>
    <w:rsid w:val="00F9088D"/>
    <w:rsid w:val="00F90B1C"/>
    <w:rsid w:val="00F90ED5"/>
    <w:rsid w:val="00F9342A"/>
    <w:rsid w:val="00F942D8"/>
    <w:rsid w:val="00F95C40"/>
    <w:rsid w:val="00F9798B"/>
    <w:rsid w:val="00F97A27"/>
    <w:rsid w:val="00FA0056"/>
    <w:rsid w:val="00FA1804"/>
    <w:rsid w:val="00FA18A9"/>
    <w:rsid w:val="00FA22D9"/>
    <w:rsid w:val="00FA32F6"/>
    <w:rsid w:val="00FA3B4E"/>
    <w:rsid w:val="00FA4CED"/>
    <w:rsid w:val="00FA6737"/>
    <w:rsid w:val="00FA6ED7"/>
    <w:rsid w:val="00FA7017"/>
    <w:rsid w:val="00FB12D7"/>
    <w:rsid w:val="00FB4E3E"/>
    <w:rsid w:val="00FB58B1"/>
    <w:rsid w:val="00FB60FE"/>
    <w:rsid w:val="00FC05D1"/>
    <w:rsid w:val="00FC0DC8"/>
    <w:rsid w:val="00FC1928"/>
    <w:rsid w:val="00FC2F51"/>
    <w:rsid w:val="00FC37BF"/>
    <w:rsid w:val="00FC465A"/>
    <w:rsid w:val="00FC51E0"/>
    <w:rsid w:val="00FC5615"/>
    <w:rsid w:val="00FC6489"/>
    <w:rsid w:val="00FC6E81"/>
    <w:rsid w:val="00FC7B78"/>
    <w:rsid w:val="00FD040D"/>
    <w:rsid w:val="00FD0B7E"/>
    <w:rsid w:val="00FD0D1C"/>
    <w:rsid w:val="00FD1700"/>
    <w:rsid w:val="00FD459F"/>
    <w:rsid w:val="00FD621C"/>
    <w:rsid w:val="00FD6844"/>
    <w:rsid w:val="00FE0321"/>
    <w:rsid w:val="00FE04DF"/>
    <w:rsid w:val="00FE17DA"/>
    <w:rsid w:val="00FE1CFC"/>
    <w:rsid w:val="00FE5C87"/>
    <w:rsid w:val="00FE60EC"/>
    <w:rsid w:val="00FE6290"/>
    <w:rsid w:val="00FE6B2F"/>
    <w:rsid w:val="00FE7A76"/>
    <w:rsid w:val="00FE7E71"/>
    <w:rsid w:val="00FF0EFF"/>
    <w:rsid w:val="00FF14A8"/>
    <w:rsid w:val="00FF3602"/>
    <w:rsid w:val="00FF45CA"/>
    <w:rsid w:val="00FF4736"/>
    <w:rsid w:val="00FF7070"/>
    <w:rsid w:val="00FF7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8FFD8"/>
  <w15:docId w15:val="{BE157FBE-D7BC-46BD-9E6E-CE59B8E3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uiPriority="35"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734"/>
    <w:pPr>
      <w:spacing w:line="288" w:lineRule="auto"/>
      <w:jc w:val="both"/>
    </w:pPr>
    <w:rPr>
      <w:rFonts w:ascii="Verdana" w:eastAsiaTheme="minorEastAsia" w:hAnsi="Verdana" w:cstheme="minorBidi"/>
      <w:lang w:eastAsia="ja-JP"/>
    </w:rPr>
  </w:style>
  <w:style w:type="paragraph" w:styleId="berschrift1">
    <w:name w:val="heading 1"/>
    <w:next w:val="Standard"/>
    <w:qFormat/>
    <w:rsid w:val="001A025C"/>
    <w:pPr>
      <w:keepNext/>
      <w:keepLines/>
      <w:numPr>
        <w:numId w:val="18"/>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18"/>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18"/>
      </w:numPr>
      <w:spacing w:before="240" w:after="120" w:line="286" w:lineRule="atLeast"/>
      <w:outlineLvl w:val="2"/>
    </w:pPr>
    <w:rPr>
      <w:rFonts w:ascii="Arial" w:hAnsi="Arial" w:cs="Arial"/>
      <w:b/>
      <w:bCs/>
      <w:sz w:val="22"/>
      <w:szCs w:val="22"/>
    </w:rPr>
  </w:style>
  <w:style w:type="paragraph" w:styleId="berschrift4">
    <w:name w:val="heading 4"/>
    <w:aliases w:val="Tempo Heading 4"/>
    <w:basedOn w:val="Standard"/>
    <w:next w:val="Standard"/>
    <w:link w:val="berschrift4Zchn"/>
    <w:unhideWhenUsed/>
    <w:qFormat/>
    <w:rsid w:val="00FA7017"/>
    <w:pPr>
      <w:keepNext/>
      <w:numPr>
        <w:ilvl w:val="3"/>
        <w:numId w:val="18"/>
      </w:numPr>
      <w:spacing w:before="240" w:line="240" w:lineRule="auto"/>
      <w:jc w:val="left"/>
      <w:outlineLvl w:val="3"/>
    </w:pPr>
    <w:rPr>
      <w:rFonts w:eastAsiaTheme="majorEastAsia" w:cstheme="minorHAnsi"/>
      <w:b/>
      <w:bCs/>
      <w:iCs/>
      <w:szCs w:val="24"/>
      <w:lang w:eastAsia="en-US"/>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5734"/>
    <w:pPr>
      <w:ind w:left="720"/>
      <w:contextualSpacing/>
    </w:pPr>
  </w:style>
  <w:style w:type="paragraph" w:customStyle="1" w:styleId="b1">
    <w:name w:val="Üb 1"/>
    <w:basedOn w:val="Listenabsatz"/>
    <w:next w:val="Standard"/>
    <w:link w:val="b1Zchn"/>
    <w:qFormat/>
    <w:rsid w:val="003D5734"/>
    <w:pPr>
      <w:keepNext/>
      <w:numPr>
        <w:numId w:val="48"/>
      </w:numPr>
      <w:spacing w:before="360" w:after="120"/>
      <w:contextualSpacing w:val="0"/>
      <w:outlineLvl w:val="0"/>
    </w:pPr>
    <w:rPr>
      <w:b/>
    </w:rPr>
  </w:style>
  <w:style w:type="character" w:customStyle="1" w:styleId="b1Zchn">
    <w:name w:val="Üb 1 Zchn"/>
    <w:basedOn w:val="Absatz-Standardschriftart"/>
    <w:link w:val="b1"/>
    <w:rsid w:val="003D5734"/>
    <w:rPr>
      <w:rFonts w:ascii="Verdana" w:eastAsiaTheme="minorEastAsia" w:hAnsi="Verdana" w:cstheme="minorBidi"/>
      <w:b/>
      <w:lang w:eastAsia="ja-JP"/>
    </w:rPr>
  </w:style>
  <w:style w:type="paragraph" w:customStyle="1" w:styleId="b2">
    <w:name w:val="Üb 2"/>
    <w:basedOn w:val="b1"/>
    <w:next w:val="Standard"/>
    <w:link w:val="b2Zchn"/>
    <w:qFormat/>
    <w:rsid w:val="003D5734"/>
    <w:pPr>
      <w:numPr>
        <w:ilvl w:val="1"/>
      </w:numPr>
      <w:spacing w:before="240"/>
      <w:outlineLvl w:val="1"/>
    </w:pPr>
  </w:style>
  <w:style w:type="character" w:customStyle="1" w:styleId="b2Zchn">
    <w:name w:val="Üb 2 Zchn"/>
    <w:basedOn w:val="b1Zchn"/>
    <w:link w:val="b2"/>
    <w:rsid w:val="003D5734"/>
    <w:rPr>
      <w:rFonts w:ascii="Verdana" w:eastAsiaTheme="minorEastAsia" w:hAnsi="Verdana" w:cstheme="minorBidi"/>
      <w:b/>
      <w:lang w:eastAsia="ja-JP"/>
    </w:rPr>
  </w:style>
  <w:style w:type="paragraph" w:customStyle="1" w:styleId="AufzhlungBuchstabe">
    <w:name w:val="Aufzählung Buchstabe"/>
    <w:basedOn w:val="b2"/>
    <w:link w:val="AufzhlungBuchstabeZchn"/>
    <w:qFormat/>
    <w:rsid w:val="003D5734"/>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3D5734"/>
    <w:rPr>
      <w:rFonts w:ascii="Verdana" w:eastAsiaTheme="minorEastAsia" w:hAnsi="Verdana" w:cstheme="minorBidi"/>
      <w:lang w:eastAsia="ja-JP"/>
    </w:rPr>
  </w:style>
  <w:style w:type="paragraph" w:customStyle="1" w:styleId="AnhangAufzhlungBuchstabe">
    <w:name w:val="Anhang Aufzählung Buchstabe"/>
    <w:basedOn w:val="AufzhlungBuchstabe"/>
    <w:link w:val="AnhangAufzhlungBuchstabeZchn"/>
    <w:qFormat/>
    <w:rsid w:val="003D5734"/>
    <w:pPr>
      <w:numPr>
        <w:ilvl w:val="4"/>
        <w:numId w:val="35"/>
      </w:numPr>
    </w:pPr>
  </w:style>
  <w:style w:type="character" w:customStyle="1" w:styleId="AnhangAufzhlungBuchstabeZchn">
    <w:name w:val="Anhang Aufzählung Buchstabe Zchn"/>
    <w:basedOn w:val="AufzhlungBuchstabeZchn"/>
    <w:link w:val="AnhangAufzhlungBuchstabe"/>
    <w:rsid w:val="003D5734"/>
    <w:rPr>
      <w:rFonts w:ascii="Verdana" w:eastAsiaTheme="minorEastAsia" w:hAnsi="Verdana" w:cstheme="minorBidi"/>
      <w:lang w:eastAsia="ja-JP"/>
    </w:rPr>
  </w:style>
  <w:style w:type="paragraph" w:customStyle="1" w:styleId="Anhangberschrift">
    <w:name w:val="Anhang Überschrift"/>
    <w:basedOn w:val="Listenabsatz"/>
    <w:next w:val="Standard"/>
    <w:link w:val="AnhangberschriftZchn"/>
    <w:qFormat/>
    <w:rsid w:val="003D5734"/>
    <w:pPr>
      <w:keepNext/>
      <w:numPr>
        <w:numId w:val="35"/>
      </w:numPr>
      <w:tabs>
        <w:tab w:val="left" w:pos="1418"/>
      </w:tabs>
      <w:spacing w:before="120" w:after="120"/>
      <w:outlineLvl w:val="0"/>
    </w:pPr>
    <w:rPr>
      <w:b/>
    </w:rPr>
  </w:style>
  <w:style w:type="character" w:customStyle="1" w:styleId="AnhangberschriftZchn">
    <w:name w:val="Anhang Überschrift Zchn"/>
    <w:basedOn w:val="Absatz-Standardschriftart"/>
    <w:link w:val="Anhangberschrift"/>
    <w:rsid w:val="003D5734"/>
    <w:rPr>
      <w:rFonts w:ascii="Verdana" w:eastAsiaTheme="minorEastAsia" w:hAnsi="Verdana" w:cstheme="minorBidi"/>
      <w:b/>
      <w:lang w:eastAsia="ja-JP"/>
    </w:rPr>
  </w:style>
  <w:style w:type="paragraph" w:customStyle="1" w:styleId="Anhangberschrift1">
    <w:name w:val="Anhang Überschrift 1"/>
    <w:basedOn w:val="b2"/>
    <w:next w:val="Standard"/>
    <w:link w:val="Anhangberschrift1Zchn"/>
    <w:qFormat/>
    <w:rsid w:val="003D5734"/>
    <w:pPr>
      <w:numPr>
        <w:numId w:val="35"/>
      </w:numPr>
    </w:pPr>
  </w:style>
  <w:style w:type="character" w:customStyle="1" w:styleId="Anhangberschrift1Zchn">
    <w:name w:val="Anhang Überschrift 1 Zchn"/>
    <w:basedOn w:val="Absatz-Standardschriftart"/>
    <w:link w:val="Anhangberschrift1"/>
    <w:rsid w:val="003D5734"/>
    <w:rPr>
      <w:rFonts w:ascii="Verdana" w:eastAsiaTheme="minorEastAsia" w:hAnsi="Verdana" w:cstheme="minorBidi"/>
      <w:b/>
      <w:lang w:eastAsia="ja-JP"/>
    </w:rPr>
  </w:style>
  <w:style w:type="paragraph" w:customStyle="1" w:styleId="Anhangberschrift2">
    <w:name w:val="Anhang Überschrift 2"/>
    <w:basedOn w:val="b2"/>
    <w:next w:val="Standard"/>
    <w:link w:val="Anhangberschrift2Zchn"/>
    <w:qFormat/>
    <w:rsid w:val="003D5734"/>
    <w:pPr>
      <w:numPr>
        <w:ilvl w:val="2"/>
        <w:numId w:val="35"/>
      </w:numPr>
      <w:outlineLvl w:val="2"/>
    </w:pPr>
  </w:style>
  <w:style w:type="character" w:customStyle="1" w:styleId="Anhangberschrift2Zchn">
    <w:name w:val="Anhang Überschrift 2 Zchn"/>
    <w:basedOn w:val="Absatz-Standardschriftart"/>
    <w:link w:val="Anhangberschrift2"/>
    <w:rsid w:val="003D5734"/>
    <w:rPr>
      <w:rFonts w:ascii="Verdana" w:eastAsiaTheme="minorEastAsia" w:hAnsi="Verdana" w:cstheme="minorBidi"/>
      <w:b/>
      <w:lang w:eastAsia="ja-JP"/>
    </w:rPr>
  </w:style>
  <w:style w:type="paragraph" w:customStyle="1" w:styleId="Anhangberschrift3">
    <w:name w:val="Anhang Überschrift 3"/>
    <w:basedOn w:val="Anhangberschrift2"/>
    <w:next w:val="Standard"/>
    <w:link w:val="Anhangberschrift3Zchn"/>
    <w:rsid w:val="003D5734"/>
    <w:pPr>
      <w:numPr>
        <w:ilvl w:val="3"/>
      </w:numPr>
    </w:pPr>
    <w:rPr>
      <w:bCs/>
    </w:rPr>
  </w:style>
  <w:style w:type="character" w:customStyle="1" w:styleId="Anhangberschrift3Zchn">
    <w:name w:val="Anhang Überschrift 3 Zchn"/>
    <w:basedOn w:val="Anhangberschrift2Zchn"/>
    <w:link w:val="Anhangberschrift3"/>
    <w:rsid w:val="003D5734"/>
    <w:rPr>
      <w:rFonts w:ascii="Verdana" w:eastAsiaTheme="minorEastAsia" w:hAnsi="Verdana" w:cstheme="minorBidi"/>
      <w:b/>
      <w:bCs/>
      <w:lang w:eastAsia="ja-JP"/>
    </w:rPr>
  </w:style>
  <w:style w:type="paragraph" w:customStyle="1" w:styleId="AufzhlungBuchstabeFett">
    <w:name w:val="Aufzählung Buchstabe Fett"/>
    <w:basedOn w:val="AufzhlungBuchstabe"/>
    <w:link w:val="AufzhlungBuchstabeFettZchn"/>
    <w:rsid w:val="003D5734"/>
    <w:pPr>
      <w:numPr>
        <w:ilvl w:val="8"/>
      </w:numPr>
    </w:pPr>
    <w:rPr>
      <w:b/>
      <w:bCs/>
    </w:rPr>
  </w:style>
  <w:style w:type="character" w:customStyle="1" w:styleId="AufzhlungBuchstabeFettZchn">
    <w:name w:val="Aufzählung Buchstabe Fett Zchn"/>
    <w:basedOn w:val="AufzhlungBuchstabeZchn"/>
    <w:link w:val="AufzhlungBuchstabeFett"/>
    <w:rsid w:val="003D5734"/>
    <w:rPr>
      <w:rFonts w:ascii="Verdana" w:eastAsiaTheme="minorEastAsia" w:hAnsi="Verdana" w:cstheme="minorBidi"/>
      <w:b/>
      <w:bCs/>
      <w:lang w:eastAsia="ja-JP"/>
    </w:rPr>
  </w:style>
  <w:style w:type="paragraph" w:customStyle="1" w:styleId="AufzhlungBuchstabeKursiv">
    <w:name w:val="Aufzählung Buchstabe Kursiv"/>
    <w:basedOn w:val="AufzhlungBuchstabe"/>
    <w:link w:val="AufzhlungBuchstabeKursivZchn"/>
    <w:rsid w:val="003D5734"/>
    <w:pPr>
      <w:numPr>
        <w:ilvl w:val="7"/>
      </w:numPr>
    </w:pPr>
    <w:rPr>
      <w:i/>
      <w:iCs/>
    </w:rPr>
  </w:style>
  <w:style w:type="character" w:customStyle="1" w:styleId="AufzhlungBuchstabeKursivZchn">
    <w:name w:val="Aufzählung Buchstabe Kursiv Zchn"/>
    <w:basedOn w:val="AufzhlungBuchstabeZchn"/>
    <w:link w:val="AufzhlungBuchstabeKursiv"/>
    <w:rsid w:val="003D5734"/>
    <w:rPr>
      <w:rFonts w:ascii="Verdana" w:eastAsiaTheme="minorEastAsia" w:hAnsi="Verdana" w:cstheme="minorBidi"/>
      <w:i/>
      <w:iCs/>
      <w:lang w:eastAsia="ja-JP"/>
    </w:rPr>
  </w:style>
  <w:style w:type="paragraph" w:customStyle="1" w:styleId="AufzhlungLiteraturstellen">
    <w:name w:val="Aufzählung Literaturstellen"/>
    <w:basedOn w:val="AufzhlungBuchstabe"/>
    <w:qFormat/>
    <w:rsid w:val="003D5734"/>
    <w:pPr>
      <w:numPr>
        <w:ilvl w:val="0"/>
        <w:numId w:val="38"/>
      </w:numPr>
      <w:tabs>
        <w:tab w:val="left" w:pos="442"/>
      </w:tabs>
    </w:pPr>
  </w:style>
  <w:style w:type="paragraph" w:customStyle="1" w:styleId="AufzhlungPunkt1">
    <w:name w:val="Aufzählung Punkt 1"/>
    <w:basedOn w:val="Standard"/>
    <w:link w:val="AufzhlungPunkt1Zchn"/>
    <w:qFormat/>
    <w:rsid w:val="003D5734"/>
    <w:pPr>
      <w:numPr>
        <w:numId w:val="40"/>
      </w:numPr>
    </w:pPr>
  </w:style>
  <w:style w:type="character" w:customStyle="1" w:styleId="AufzhlungPunkt1Zchn">
    <w:name w:val="Aufzählung Punkt 1 Zchn"/>
    <w:basedOn w:val="Absatz-Standardschriftart"/>
    <w:link w:val="AufzhlungPunkt1"/>
    <w:rsid w:val="003D5734"/>
    <w:rPr>
      <w:rFonts w:ascii="Verdana" w:eastAsiaTheme="minorEastAsia" w:hAnsi="Verdana" w:cstheme="minorBidi"/>
      <w:lang w:eastAsia="ja-JP"/>
    </w:rPr>
  </w:style>
  <w:style w:type="paragraph" w:customStyle="1" w:styleId="AufzhlungPunkt1kursiv">
    <w:name w:val="Aufzählung Punkt 1 kursiv"/>
    <w:basedOn w:val="AufzhlungPunkt1"/>
    <w:link w:val="AufzhlungPunkt1kursivZchn"/>
    <w:qFormat/>
    <w:rsid w:val="003D5734"/>
    <w:pPr>
      <w:ind w:left="426" w:hanging="426"/>
    </w:pPr>
    <w:rPr>
      <w:i/>
    </w:rPr>
  </w:style>
  <w:style w:type="character" w:customStyle="1" w:styleId="AufzhlungPunkt1kursivZchn">
    <w:name w:val="Aufzählung Punkt 1 kursiv Zchn"/>
    <w:basedOn w:val="AufzhlungPunkt1Zchn"/>
    <w:link w:val="AufzhlungPunkt1kursiv"/>
    <w:rsid w:val="003D5734"/>
    <w:rPr>
      <w:rFonts w:ascii="Verdana" w:eastAsiaTheme="minorEastAsia" w:hAnsi="Verdana" w:cstheme="minorBidi"/>
      <w:i/>
      <w:lang w:eastAsia="ja-JP"/>
    </w:rPr>
  </w:style>
  <w:style w:type="paragraph" w:customStyle="1" w:styleId="AufzhlungPunkt2">
    <w:name w:val="Aufzählung Punkt 2"/>
    <w:basedOn w:val="Standard"/>
    <w:link w:val="AufzhlungPunkt2Zchn"/>
    <w:qFormat/>
    <w:rsid w:val="003D5734"/>
    <w:pPr>
      <w:numPr>
        <w:numId w:val="42"/>
      </w:numPr>
    </w:pPr>
  </w:style>
  <w:style w:type="character" w:customStyle="1" w:styleId="AufzhlungPunkt2Zchn">
    <w:name w:val="Aufzählung Punkt 2 Zchn"/>
    <w:basedOn w:val="Absatz-Standardschriftart"/>
    <w:link w:val="AufzhlungPunkt2"/>
    <w:rsid w:val="003D5734"/>
    <w:rPr>
      <w:rFonts w:ascii="Verdana" w:eastAsiaTheme="minorEastAsia" w:hAnsi="Verdana" w:cstheme="minorBidi"/>
      <w:lang w:eastAsia="ja-JP"/>
    </w:rPr>
  </w:style>
  <w:style w:type="paragraph" w:customStyle="1" w:styleId="AufzhlungPunkt2kursiv">
    <w:name w:val="Aufzählung Punkt 2 kursiv"/>
    <w:basedOn w:val="AufzhlungPunkt2"/>
    <w:link w:val="AufzhlungPunkt2kursivZchn"/>
    <w:qFormat/>
    <w:rsid w:val="003D5734"/>
    <w:pPr>
      <w:ind w:left="851" w:hanging="425"/>
    </w:pPr>
    <w:rPr>
      <w:i/>
    </w:rPr>
  </w:style>
  <w:style w:type="character" w:customStyle="1" w:styleId="AufzhlungPunkt2kursivZchn">
    <w:name w:val="Aufzählung Punkt 2 kursiv Zchn"/>
    <w:basedOn w:val="AufzhlungPunkt2Zchn"/>
    <w:link w:val="AufzhlungPunkt2kursiv"/>
    <w:rsid w:val="003D5734"/>
    <w:rPr>
      <w:rFonts w:ascii="Verdana" w:eastAsiaTheme="minorEastAsia" w:hAnsi="Verdana" w:cstheme="minorBidi"/>
      <w:i/>
      <w:lang w:eastAsia="ja-JP"/>
    </w:rPr>
  </w:style>
  <w:style w:type="paragraph" w:customStyle="1" w:styleId="AufzhlungPunkt3">
    <w:name w:val="Aufzählung Punkt 3"/>
    <w:basedOn w:val="AufzhlungPunkt2"/>
    <w:link w:val="AufzhlungPunkt3Zchn"/>
    <w:qFormat/>
    <w:rsid w:val="003D5734"/>
    <w:pPr>
      <w:numPr>
        <w:numId w:val="44"/>
      </w:numPr>
    </w:pPr>
  </w:style>
  <w:style w:type="character" w:customStyle="1" w:styleId="AufzhlungPunkt3Zchn">
    <w:name w:val="Aufzählung Punkt 3 Zchn"/>
    <w:basedOn w:val="AufzhlungPunkt2Zchn"/>
    <w:link w:val="AufzhlungPunkt3"/>
    <w:rsid w:val="003D5734"/>
    <w:rPr>
      <w:rFonts w:ascii="Verdana" w:eastAsiaTheme="minorEastAsia" w:hAnsi="Verdana" w:cstheme="minorBidi"/>
      <w:lang w:eastAsia="ja-JP"/>
    </w:rPr>
  </w:style>
  <w:style w:type="paragraph" w:customStyle="1" w:styleId="AufzhlungPunkt3kursiv">
    <w:name w:val="Aufzählung Punkt 3 kursiv"/>
    <w:basedOn w:val="AufzhlungPunkt3"/>
    <w:link w:val="AufzhlungPunkt3kursivZchn"/>
    <w:qFormat/>
    <w:rsid w:val="003D5734"/>
    <w:pPr>
      <w:ind w:left="1276" w:hanging="425"/>
    </w:pPr>
    <w:rPr>
      <w:i/>
    </w:rPr>
  </w:style>
  <w:style w:type="character" w:customStyle="1" w:styleId="AufzhlungPunkt3kursivZchn">
    <w:name w:val="Aufzählung Punkt 3 kursiv Zchn"/>
    <w:basedOn w:val="AufzhlungPunkt3Zchn"/>
    <w:link w:val="AufzhlungPunkt3kursiv"/>
    <w:rsid w:val="003D5734"/>
    <w:rPr>
      <w:rFonts w:ascii="Verdana" w:eastAsiaTheme="minorEastAsia" w:hAnsi="Verdana" w:cstheme="minorBidi"/>
      <w:i/>
      <w:lang w:eastAsia="ja-JP"/>
    </w:rPr>
  </w:style>
  <w:style w:type="paragraph" w:styleId="Funotentext">
    <w:name w:val="footnote text"/>
    <w:basedOn w:val="Standard"/>
    <w:link w:val="FunotentextZchn"/>
    <w:uiPriority w:val="99"/>
    <w:qFormat/>
    <w:rsid w:val="003D5734"/>
    <w:pPr>
      <w:tabs>
        <w:tab w:val="left" w:pos="284"/>
      </w:tabs>
      <w:spacing w:line="240" w:lineRule="auto"/>
      <w:ind w:left="284" w:hanging="284"/>
    </w:pPr>
    <w:rPr>
      <w:sz w:val="18"/>
    </w:rPr>
  </w:style>
  <w:style w:type="character" w:customStyle="1" w:styleId="FunotentextZchn">
    <w:name w:val="Fußnotentext Zchn"/>
    <w:basedOn w:val="Absatz-Standardschriftart"/>
    <w:link w:val="Funotentext"/>
    <w:uiPriority w:val="99"/>
    <w:rsid w:val="003D5734"/>
    <w:rPr>
      <w:rFonts w:ascii="Verdana" w:eastAsiaTheme="minorEastAsia" w:hAnsi="Verdana" w:cstheme="minorBidi"/>
      <w:sz w:val="18"/>
      <w:lang w:eastAsia="ja-JP"/>
    </w:rPr>
  </w:style>
  <w:style w:type="character" w:styleId="Funotenzeichen">
    <w:name w:val="footnote reference"/>
    <w:basedOn w:val="Absatz-Standardschriftart"/>
    <w:uiPriority w:val="99"/>
    <w:qFormat/>
    <w:rsid w:val="003D5734"/>
    <w:rPr>
      <w:vertAlign w:val="superscript"/>
    </w:rPr>
  </w:style>
  <w:style w:type="paragraph" w:styleId="Fuzeile">
    <w:name w:val="footer"/>
    <w:basedOn w:val="Standard"/>
    <w:link w:val="FuzeileZchn"/>
    <w:uiPriority w:val="99"/>
    <w:qFormat/>
    <w:rsid w:val="003D573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D5734"/>
    <w:rPr>
      <w:rFonts w:ascii="Verdana" w:eastAsiaTheme="minorEastAsia" w:hAnsi="Verdana" w:cstheme="minorBidi"/>
      <w:lang w:eastAsia="ja-JP"/>
    </w:rPr>
  </w:style>
  <w:style w:type="character" w:customStyle="1" w:styleId="Hochgestellt">
    <w:name w:val="Hochgestellt"/>
    <w:basedOn w:val="Absatz-Standardschriftart"/>
    <w:rsid w:val="003D5734"/>
    <w:rPr>
      <w:vertAlign w:val="superscript"/>
    </w:rPr>
  </w:style>
  <w:style w:type="character" w:customStyle="1" w:styleId="Hochgestelltfett">
    <w:name w:val="Hochgestellt fett"/>
    <w:basedOn w:val="Absatz-Standardschriftart"/>
    <w:rsid w:val="003D5734"/>
    <w:rPr>
      <w:b/>
      <w:bCs/>
      <w:vertAlign w:val="superscript"/>
    </w:rPr>
  </w:style>
  <w:style w:type="character" w:customStyle="1" w:styleId="Hochgestelltfettkursiv">
    <w:name w:val="Hochgestellt fett kursiv"/>
    <w:basedOn w:val="Absatz-Standardschriftart"/>
    <w:rsid w:val="003D5734"/>
    <w:rPr>
      <w:b/>
      <w:bCs/>
      <w:i/>
      <w:iCs/>
      <w:vertAlign w:val="superscript"/>
    </w:rPr>
  </w:style>
  <w:style w:type="character" w:customStyle="1" w:styleId="Hochgestelltkursiv">
    <w:name w:val="Hochgestellt kursiv"/>
    <w:basedOn w:val="Absatz-Standardschriftart"/>
    <w:rsid w:val="003D5734"/>
    <w:rPr>
      <w:i/>
      <w:iCs/>
      <w:vertAlign w:val="superscript"/>
    </w:rPr>
  </w:style>
  <w:style w:type="character" w:styleId="Hyperlink">
    <w:name w:val="Hyperlink"/>
    <w:basedOn w:val="Absatz-Standardschriftart"/>
    <w:uiPriority w:val="99"/>
    <w:qFormat/>
    <w:rsid w:val="003D5734"/>
    <w:rPr>
      <w:color w:val="0000FF" w:themeColor="hyperlink"/>
      <w:u w:val="single"/>
    </w:rPr>
  </w:style>
  <w:style w:type="paragraph" w:customStyle="1" w:styleId="Standardfett">
    <w:name w:val="Standard fett"/>
    <w:basedOn w:val="Standard"/>
    <w:link w:val="StandardfettZchn"/>
    <w:qFormat/>
    <w:rsid w:val="003D5734"/>
    <w:rPr>
      <w:b/>
    </w:rPr>
  </w:style>
  <w:style w:type="character" w:customStyle="1" w:styleId="StandardfettZchn">
    <w:name w:val="Standard fett Zchn"/>
    <w:basedOn w:val="Absatz-Standardschriftart"/>
    <w:link w:val="Standardfett"/>
    <w:rsid w:val="003D5734"/>
    <w:rPr>
      <w:rFonts w:ascii="Verdana" w:eastAsiaTheme="minorEastAsia" w:hAnsi="Verdana" w:cstheme="minorBidi"/>
      <w:b/>
      <w:lang w:eastAsia="ja-JP"/>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paragraph" w:customStyle="1" w:styleId="Inhaltsverzeichnisberschrift">
    <w:name w:val="Inhaltsverzeichnis Überschrift"/>
    <w:basedOn w:val="Standardfett"/>
    <w:link w:val="InhaltsverzeichnisberschriftZchn"/>
    <w:qFormat/>
    <w:rsid w:val="003D5734"/>
    <w:pPr>
      <w:keepNext/>
      <w:spacing w:before="240" w:after="240"/>
    </w:pPr>
  </w:style>
  <w:style w:type="character" w:customStyle="1" w:styleId="InhaltsverzeichnisberschriftZchn">
    <w:name w:val="Inhaltsverzeichnis Überschrift Zchn"/>
    <w:basedOn w:val="StandardfettZchn"/>
    <w:link w:val="Inhaltsverzeichnisberschrift"/>
    <w:rsid w:val="003D5734"/>
    <w:rPr>
      <w:rFonts w:ascii="Verdana" w:eastAsiaTheme="minorEastAsia" w:hAnsi="Verdana" w:cstheme="minorBidi"/>
      <w:b/>
      <w:lang w:eastAsia="ja-JP"/>
    </w:rPr>
  </w:style>
  <w:style w:type="paragraph" w:styleId="Kopfzeile">
    <w:name w:val="header"/>
    <w:basedOn w:val="Standard"/>
    <w:link w:val="KopfzeileZchn"/>
    <w:uiPriority w:val="99"/>
    <w:qFormat/>
    <w:rsid w:val="003D573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D5734"/>
    <w:rPr>
      <w:rFonts w:ascii="Verdana" w:eastAsiaTheme="minorEastAsia" w:hAnsi="Verdana" w:cstheme="minorBidi"/>
      <w:lang w:eastAsia="ja-JP"/>
    </w:rPr>
  </w:style>
  <w:style w:type="paragraph" w:customStyle="1" w:styleId="Nachweisberschrift">
    <w:name w:val="Nachweis Überschrift"/>
    <w:basedOn w:val="Standard"/>
    <w:next w:val="Standard"/>
    <w:link w:val="NachweisberschriftZchn"/>
    <w:qFormat/>
    <w:rsid w:val="003D5734"/>
    <w:pPr>
      <w:keepNext/>
      <w:spacing w:before="120" w:after="120"/>
    </w:pPr>
    <w:rPr>
      <w:b/>
      <w:i/>
    </w:rPr>
  </w:style>
  <w:style w:type="character" w:customStyle="1" w:styleId="NachweisberschriftZchn">
    <w:name w:val="Nachweis Überschrift Zchn"/>
    <w:basedOn w:val="Absatz-Standardschriftart"/>
    <w:link w:val="Nachweisberschrift"/>
    <w:rsid w:val="003D5734"/>
    <w:rPr>
      <w:rFonts w:ascii="Verdana" w:eastAsiaTheme="minorEastAsia" w:hAnsi="Verdana" w:cstheme="minorBidi"/>
      <w:b/>
      <w:i/>
      <w:lang w:eastAsia="ja-JP"/>
    </w:rPr>
  </w:style>
  <w:style w:type="paragraph" w:customStyle="1" w:styleId="StandardeinfacherZeilenabstand">
    <w:name w:val="Standard einfacher Zeilenabstand"/>
    <w:basedOn w:val="Standard"/>
    <w:qFormat/>
    <w:rsid w:val="003D5734"/>
    <w:pPr>
      <w:spacing w:line="240" w:lineRule="auto"/>
    </w:pPr>
  </w:style>
  <w:style w:type="paragraph" w:customStyle="1" w:styleId="Standardeingercktum0">
    <w:name w:val="Standard eingerückt um 0"/>
    <w:aliases w:val="75"/>
    <w:basedOn w:val="Standard"/>
    <w:link w:val="Standardeingercktum0Zchn"/>
    <w:qFormat/>
    <w:rsid w:val="003D5734"/>
    <w:pPr>
      <w:ind w:left="426"/>
    </w:pPr>
  </w:style>
  <w:style w:type="character" w:customStyle="1" w:styleId="Standardeingercktum0Zchn">
    <w:name w:val="Standard eingerückt um 0 Zchn"/>
    <w:aliases w:val="75 Zchn"/>
    <w:basedOn w:val="Absatz-Standardschriftart"/>
    <w:link w:val="Standardeingercktum0"/>
    <w:rsid w:val="003D5734"/>
    <w:rPr>
      <w:rFonts w:ascii="Verdana" w:eastAsiaTheme="minorEastAsia" w:hAnsi="Verdana" w:cstheme="minorBidi"/>
      <w:lang w:eastAsia="ja-JP"/>
    </w:rPr>
  </w:style>
  <w:style w:type="character" w:customStyle="1" w:styleId="StandardnurWort">
    <w:name w:val="Standard nur Wort"/>
    <w:basedOn w:val="Absatz-Standardschriftart"/>
    <w:uiPriority w:val="1"/>
    <w:qFormat/>
    <w:rsid w:val="003D5734"/>
  </w:style>
  <w:style w:type="character" w:customStyle="1" w:styleId="StandardfettnurWort">
    <w:name w:val="Standard fett nur Wort"/>
    <w:basedOn w:val="StandardnurWort"/>
    <w:uiPriority w:val="1"/>
    <w:qFormat/>
    <w:rsid w:val="003D5734"/>
    <w:rPr>
      <w:rFonts w:ascii="Verdana" w:hAnsi="Verdana"/>
      <w:b/>
      <w:sz w:val="20"/>
    </w:rPr>
  </w:style>
  <w:style w:type="paragraph" w:customStyle="1" w:styleId="Standardklein">
    <w:name w:val="Standard klein"/>
    <w:basedOn w:val="Standard"/>
    <w:link w:val="StandardkleinZchn"/>
    <w:qFormat/>
    <w:rsid w:val="003D5734"/>
    <w:rPr>
      <w:sz w:val="16"/>
      <w:szCs w:val="16"/>
    </w:rPr>
  </w:style>
  <w:style w:type="character" w:customStyle="1" w:styleId="StandardkleinZchn">
    <w:name w:val="Standard klein Zchn"/>
    <w:basedOn w:val="Absatz-Standardschriftart"/>
    <w:link w:val="Standardklein"/>
    <w:rsid w:val="003D5734"/>
    <w:rPr>
      <w:rFonts w:ascii="Verdana" w:eastAsiaTheme="minorEastAsia" w:hAnsi="Verdana" w:cstheme="minorBidi"/>
      <w:sz w:val="16"/>
      <w:szCs w:val="16"/>
      <w:lang w:eastAsia="ja-JP"/>
    </w:rPr>
  </w:style>
  <w:style w:type="paragraph" w:customStyle="1" w:styleId="Standardkursiv">
    <w:name w:val="Standard kursiv"/>
    <w:basedOn w:val="Standard"/>
    <w:link w:val="StandardkursivZchn"/>
    <w:qFormat/>
    <w:rsid w:val="003D5734"/>
    <w:rPr>
      <w:i/>
    </w:rPr>
  </w:style>
  <w:style w:type="character" w:customStyle="1" w:styleId="StandardkursivZchn">
    <w:name w:val="Standard kursiv Zchn"/>
    <w:basedOn w:val="Absatz-Standardschriftart"/>
    <w:link w:val="Standardkursiv"/>
    <w:rsid w:val="003D5734"/>
    <w:rPr>
      <w:rFonts w:ascii="Verdana" w:eastAsiaTheme="minorEastAsia" w:hAnsi="Verdana" w:cstheme="minorBidi"/>
      <w:i/>
      <w:lang w:eastAsia="ja-JP"/>
    </w:rPr>
  </w:style>
  <w:style w:type="character" w:customStyle="1" w:styleId="StandardkursivnurWort">
    <w:name w:val="Standard kursiv nur Wort"/>
    <w:basedOn w:val="StandardnurWort"/>
    <w:uiPriority w:val="1"/>
    <w:qFormat/>
    <w:rsid w:val="003D5734"/>
    <w:rPr>
      <w:i/>
    </w:rPr>
  </w:style>
  <w:style w:type="paragraph" w:customStyle="1" w:styleId="StandardmittigfettmitRahmen">
    <w:name w:val="Standard mittig fett mit Rahmen"/>
    <w:basedOn w:val="Standard"/>
    <w:link w:val="StandardmittigfettmitRahmenZchn"/>
    <w:qFormat/>
    <w:rsid w:val="003D5734"/>
    <w:pPr>
      <w:pBdr>
        <w:top w:val="single" w:sz="4" w:space="1" w:color="auto"/>
        <w:left w:val="single" w:sz="4" w:space="4" w:color="auto"/>
        <w:bottom w:val="single" w:sz="4" w:space="1" w:color="auto"/>
        <w:right w:val="single" w:sz="4" w:space="4" w:color="auto"/>
      </w:pBdr>
      <w:jc w:val="center"/>
    </w:pPr>
    <w:rPr>
      <w:b/>
    </w:rPr>
  </w:style>
  <w:style w:type="character" w:customStyle="1" w:styleId="StandardmittigfettmitRahmenZchn">
    <w:name w:val="Standard mittig fett mit Rahmen Zchn"/>
    <w:basedOn w:val="Absatz-Standardschriftart"/>
    <w:link w:val="StandardmittigfettmitRahmen"/>
    <w:rsid w:val="003D5734"/>
    <w:rPr>
      <w:rFonts w:ascii="Verdana" w:eastAsiaTheme="minorEastAsia" w:hAnsi="Verdana" w:cstheme="minorBidi"/>
      <w:b/>
      <w:lang w:eastAsia="ja-JP"/>
    </w:rPr>
  </w:style>
  <w:style w:type="paragraph" w:customStyle="1" w:styleId="StandardmittigmitRahmen">
    <w:name w:val="Standard mittig mit Rahmen"/>
    <w:basedOn w:val="Standard"/>
    <w:link w:val="StandardmittigmitRahmenZchn"/>
    <w:qFormat/>
    <w:rsid w:val="003D5734"/>
    <w:pPr>
      <w:pBdr>
        <w:top w:val="single" w:sz="4" w:space="1" w:color="auto"/>
        <w:left w:val="single" w:sz="4" w:space="4" w:color="auto"/>
        <w:bottom w:val="single" w:sz="4" w:space="1" w:color="auto"/>
        <w:right w:val="single" w:sz="4" w:space="4" w:color="auto"/>
      </w:pBdr>
      <w:jc w:val="center"/>
    </w:pPr>
  </w:style>
  <w:style w:type="character" w:customStyle="1" w:styleId="StandardmittigmitRahmenZchn">
    <w:name w:val="Standard mittig mit Rahmen Zchn"/>
    <w:basedOn w:val="Absatz-Standardschriftart"/>
    <w:link w:val="StandardmittigmitRahmen"/>
    <w:rsid w:val="003D5734"/>
    <w:rPr>
      <w:rFonts w:ascii="Verdana" w:eastAsiaTheme="minorEastAsia" w:hAnsi="Verdana" w:cstheme="minorBidi"/>
      <w:lang w:eastAsia="ja-JP"/>
    </w:rPr>
  </w:style>
  <w:style w:type="table" w:customStyle="1" w:styleId="TabellefrVergabegrundlageErsteSpaltegrau">
    <w:name w:val="Tabelle für Vergabegrundlage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Col">
      <w:tblPr/>
      <w:tcPr>
        <w:shd w:val="clear" w:color="auto" w:fill="F2F2F2" w:themeFill="background1" w:themeFillShade="F2"/>
      </w:tcPr>
    </w:tblStylePr>
  </w:style>
  <w:style w:type="table" w:customStyle="1" w:styleId="TabellefrVergabegrundlageKopfzeilegrau">
    <w:name w:val="Tabelle für Vergabegrundlage Kopfzeile grau"/>
    <w:basedOn w:val="NormaleTabelle"/>
    <w:uiPriority w:val="99"/>
    <w:rsid w:val="003D5734"/>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table" w:customStyle="1" w:styleId="TabellefrVergabegrundlageKopfzeileundersteSpaltegrau">
    <w:name w:val="Tabelle für Vergabegrundlage Kopfzeile und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TabellefrVergabegrundlagewei">
    <w:name w:val="Tabelle für Vergabegrundlage weiß"/>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tcPr>
  </w:style>
  <w:style w:type="table" w:styleId="Tabellenraster">
    <w:name w:val="Table Grid"/>
    <w:basedOn w:val="NormaleTabelle"/>
    <w:uiPriority w:val="59"/>
    <w:rsid w:val="003D5734"/>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standardlinksbndig">
    <w:name w:val="Tabellentext standard linksbündig"/>
    <w:basedOn w:val="StandardeinfacherZeilenabstand"/>
    <w:link w:val="TabellentextstandardlinksbndigZchn"/>
    <w:qFormat/>
    <w:rsid w:val="003D5734"/>
    <w:pPr>
      <w:jc w:val="left"/>
    </w:pPr>
  </w:style>
  <w:style w:type="character" w:customStyle="1" w:styleId="TabellentextstandardlinksbndigZchn">
    <w:name w:val="Tabellentext standard linksbündig Zchn"/>
    <w:basedOn w:val="Absatz-Standardschriftart"/>
    <w:link w:val="Tabellentextstandardlinksbndig"/>
    <w:rsid w:val="003D5734"/>
    <w:rPr>
      <w:rFonts w:ascii="Verdana" w:eastAsiaTheme="minorEastAsia" w:hAnsi="Verdana" w:cstheme="minorBidi"/>
      <w:lang w:eastAsia="ja-JP"/>
    </w:rPr>
  </w:style>
  <w:style w:type="paragraph" w:customStyle="1" w:styleId="Tabellentextfettkleinlinksbndig">
    <w:name w:val="Tabellentext fett klein linksbündig"/>
    <w:basedOn w:val="Tabellentextstandardlinksbndig"/>
    <w:link w:val="TabellentextfettkleinlinksbndigZchn"/>
    <w:qFormat/>
    <w:rsid w:val="003D5734"/>
    <w:rPr>
      <w:b/>
      <w:sz w:val="18"/>
      <w:szCs w:val="18"/>
    </w:rPr>
  </w:style>
  <w:style w:type="character" w:customStyle="1" w:styleId="TabellentextfettkleinlinksbndigZchn">
    <w:name w:val="Tabellentext fett klein linksbündig Zchn"/>
    <w:basedOn w:val="TabellentextstandardlinksbndigZchn"/>
    <w:link w:val="Tabellentextfettkleinlinksbndig"/>
    <w:rsid w:val="003D5734"/>
    <w:rPr>
      <w:rFonts w:ascii="Verdana" w:eastAsiaTheme="minorEastAsia" w:hAnsi="Verdana" w:cstheme="minorBidi"/>
      <w:b/>
      <w:sz w:val="18"/>
      <w:szCs w:val="18"/>
      <w:lang w:eastAsia="ja-JP"/>
    </w:rPr>
  </w:style>
  <w:style w:type="paragraph" w:customStyle="1" w:styleId="Tabellentextfettkleinmittig">
    <w:name w:val="Tabellentext fett klein mittig"/>
    <w:basedOn w:val="Tabellentextfettkleinlinksbndig"/>
    <w:link w:val="TabellentextfettkleinmittigZchn"/>
    <w:qFormat/>
    <w:rsid w:val="003D5734"/>
    <w:pPr>
      <w:jc w:val="center"/>
    </w:pPr>
  </w:style>
  <w:style w:type="character" w:customStyle="1" w:styleId="TabellentextfettkleinmittigZchn">
    <w:name w:val="Tabellentext fett klein mittig Zchn"/>
    <w:basedOn w:val="TabellentextfettkleinlinksbndigZchn"/>
    <w:link w:val="Tabellentextfettkleinmittig"/>
    <w:rsid w:val="003D5734"/>
    <w:rPr>
      <w:rFonts w:ascii="Verdana" w:eastAsiaTheme="minorEastAsia" w:hAnsi="Verdana" w:cstheme="minorBidi"/>
      <w:b/>
      <w:sz w:val="18"/>
      <w:szCs w:val="18"/>
      <w:lang w:eastAsia="ja-JP"/>
    </w:rPr>
  </w:style>
  <w:style w:type="paragraph" w:customStyle="1" w:styleId="Tabellentextfettlinksbndig">
    <w:name w:val="Tabellentext fett linksbündig"/>
    <w:basedOn w:val="StandardeinfacherZeilenabstand"/>
    <w:link w:val="TabellentextfettlinksbndigZchn"/>
    <w:qFormat/>
    <w:rsid w:val="003D5734"/>
    <w:pPr>
      <w:jc w:val="left"/>
    </w:pPr>
    <w:rPr>
      <w:b/>
    </w:rPr>
  </w:style>
  <w:style w:type="character" w:customStyle="1" w:styleId="TabellentextfettlinksbndigZchn">
    <w:name w:val="Tabellentext fett linksbündig Zchn"/>
    <w:basedOn w:val="Absatz-Standardschriftart"/>
    <w:link w:val="Tabellentextfettlinksbndig"/>
    <w:rsid w:val="003D5734"/>
    <w:rPr>
      <w:rFonts w:ascii="Verdana" w:eastAsiaTheme="minorEastAsia" w:hAnsi="Verdana" w:cstheme="minorBidi"/>
      <w:b/>
      <w:lang w:eastAsia="ja-JP"/>
    </w:rPr>
  </w:style>
  <w:style w:type="paragraph" w:customStyle="1" w:styleId="Tabellentextfettmittig">
    <w:name w:val="Tabellentext fett mittig"/>
    <w:basedOn w:val="Tabellentextfettlinksbndig"/>
    <w:link w:val="TabellentextfettmittigZchn"/>
    <w:qFormat/>
    <w:rsid w:val="003D5734"/>
    <w:pPr>
      <w:jc w:val="center"/>
    </w:pPr>
  </w:style>
  <w:style w:type="character" w:customStyle="1" w:styleId="TabellentextfettmittigZchn">
    <w:name w:val="Tabellentext fett mittig Zchn"/>
    <w:basedOn w:val="TabellentextfettlinksbndigZchn"/>
    <w:link w:val="Tabellentextfettmittig"/>
    <w:rsid w:val="003D5734"/>
    <w:rPr>
      <w:rFonts w:ascii="Verdana" w:eastAsiaTheme="minorEastAsia" w:hAnsi="Verdana" w:cstheme="minorBidi"/>
      <w:b/>
      <w:lang w:eastAsia="ja-JP"/>
    </w:rPr>
  </w:style>
  <w:style w:type="paragraph" w:customStyle="1" w:styleId="Tabellentextkursivkleinlinksbndig">
    <w:name w:val="Tabellentext kursiv klein linksbündig"/>
    <w:basedOn w:val="Tabellentextstandardlinksbndig"/>
    <w:link w:val="TabellentextkursivkleinlinksbndigZchn"/>
    <w:qFormat/>
    <w:rsid w:val="003D5734"/>
    <w:rPr>
      <w:i/>
      <w:sz w:val="18"/>
      <w:szCs w:val="18"/>
    </w:rPr>
  </w:style>
  <w:style w:type="character" w:customStyle="1" w:styleId="TabellentextkursivkleinlinksbndigZchn">
    <w:name w:val="Tabellentext kursiv klein linksbündig Zchn"/>
    <w:basedOn w:val="TabellentextstandardlinksbndigZchn"/>
    <w:link w:val="Tabellentextkursivkleinlinksbndig"/>
    <w:rsid w:val="003D5734"/>
    <w:rPr>
      <w:rFonts w:ascii="Verdana" w:eastAsiaTheme="minorEastAsia" w:hAnsi="Verdana" w:cstheme="minorBidi"/>
      <w:i/>
      <w:sz w:val="18"/>
      <w:szCs w:val="18"/>
      <w:lang w:eastAsia="ja-JP"/>
    </w:rPr>
  </w:style>
  <w:style w:type="paragraph" w:customStyle="1" w:styleId="Tabellentextkursivkleinmittig">
    <w:name w:val="Tabellentext kursiv klein mittig"/>
    <w:basedOn w:val="Tabellentextfettkleinmittig"/>
    <w:link w:val="TabellentextkursivkleinmittigZchn"/>
    <w:qFormat/>
    <w:rsid w:val="003D5734"/>
    <w:rPr>
      <w:b w:val="0"/>
      <w:i/>
    </w:rPr>
  </w:style>
  <w:style w:type="character" w:customStyle="1" w:styleId="TabellentextkursivkleinmittigZchn">
    <w:name w:val="Tabellentext kursiv klein mittig Zchn"/>
    <w:basedOn w:val="TabellentextfettkleinmittigZchn"/>
    <w:link w:val="Tabellentextkursivkleinmittig"/>
    <w:rsid w:val="003D5734"/>
    <w:rPr>
      <w:rFonts w:ascii="Verdana" w:eastAsiaTheme="minorEastAsia" w:hAnsi="Verdana" w:cstheme="minorBidi"/>
      <w:b w:val="0"/>
      <w:i/>
      <w:sz w:val="18"/>
      <w:szCs w:val="18"/>
      <w:lang w:eastAsia="ja-JP"/>
    </w:rPr>
  </w:style>
  <w:style w:type="paragraph" w:customStyle="1" w:styleId="Tabellentextkursivmittig">
    <w:name w:val="Tabellentext kursiv mittig"/>
    <w:basedOn w:val="Tabellentextkursivkleinmittig"/>
    <w:link w:val="TabellentextkursivmittigZchn"/>
    <w:qFormat/>
    <w:rsid w:val="003D5734"/>
  </w:style>
  <w:style w:type="character" w:customStyle="1" w:styleId="TabellentextkursivmittigZchn">
    <w:name w:val="Tabellentext kursiv mittig Zchn"/>
    <w:basedOn w:val="TabellentextkursivkleinmittigZchn"/>
    <w:link w:val="Tabellentextkursivmittig"/>
    <w:rsid w:val="003D5734"/>
    <w:rPr>
      <w:rFonts w:ascii="Verdana" w:eastAsiaTheme="minorEastAsia" w:hAnsi="Verdana" w:cstheme="minorBidi"/>
      <w:b w:val="0"/>
      <w:i/>
      <w:sz w:val="18"/>
      <w:szCs w:val="18"/>
      <w:lang w:eastAsia="ja-JP"/>
    </w:rPr>
  </w:style>
  <w:style w:type="paragraph" w:customStyle="1" w:styleId="Tabellentextkursivlinksbndig">
    <w:name w:val="Tabellentext kursiv linksbündig"/>
    <w:basedOn w:val="Tabellentextkursivmittig"/>
    <w:link w:val="TabellentextkursivlinksbndigZchn"/>
    <w:qFormat/>
    <w:rsid w:val="003D5734"/>
    <w:pPr>
      <w:jc w:val="left"/>
    </w:pPr>
  </w:style>
  <w:style w:type="character" w:customStyle="1" w:styleId="TabellentextkursivlinksbndigZchn">
    <w:name w:val="Tabellentext kursiv linksbündig Zchn"/>
    <w:basedOn w:val="TabellentextkursivmittigZchn"/>
    <w:link w:val="Tabellentextkursivlinksbndig"/>
    <w:rsid w:val="003D5734"/>
    <w:rPr>
      <w:rFonts w:ascii="Verdana" w:eastAsiaTheme="minorEastAsia" w:hAnsi="Verdana" w:cstheme="minorBidi"/>
      <w:b w:val="0"/>
      <w:i/>
      <w:sz w:val="18"/>
      <w:szCs w:val="18"/>
      <w:lang w:eastAsia="ja-JP"/>
    </w:rPr>
  </w:style>
  <w:style w:type="paragraph" w:customStyle="1" w:styleId="Tabellentextstandardkleinlinksbndig">
    <w:name w:val="Tabellentext standard klein linksbündig"/>
    <w:basedOn w:val="Tabellentextstandardlinksbndig"/>
    <w:link w:val="TabellentextstandardkleinlinksbndigZchn"/>
    <w:qFormat/>
    <w:rsid w:val="003D5734"/>
    <w:rPr>
      <w:sz w:val="18"/>
      <w:szCs w:val="18"/>
    </w:rPr>
  </w:style>
  <w:style w:type="character" w:customStyle="1" w:styleId="TabellentextstandardkleinlinksbndigZchn">
    <w:name w:val="Tabellentext standard klein linksbündig Zchn"/>
    <w:basedOn w:val="TabellentextstandardlinksbndigZchn"/>
    <w:link w:val="Tabellentextstandardkleinlinksbndig"/>
    <w:rsid w:val="003D5734"/>
    <w:rPr>
      <w:rFonts w:ascii="Verdana" w:eastAsiaTheme="minorEastAsia" w:hAnsi="Verdana" w:cstheme="minorBidi"/>
      <w:sz w:val="18"/>
      <w:szCs w:val="18"/>
      <w:lang w:eastAsia="ja-JP"/>
    </w:rPr>
  </w:style>
  <w:style w:type="paragraph" w:customStyle="1" w:styleId="Tabellentextstandardkleinmittig">
    <w:name w:val="Tabellentext standard klein mittig"/>
    <w:basedOn w:val="Tabellentextstandardkleinlinksbndig"/>
    <w:link w:val="TabellentextstandardkleinmittigZchn"/>
    <w:qFormat/>
    <w:rsid w:val="003D5734"/>
    <w:pPr>
      <w:jc w:val="center"/>
    </w:pPr>
  </w:style>
  <w:style w:type="character" w:customStyle="1" w:styleId="TabellentextstandardkleinmittigZchn">
    <w:name w:val="Tabellentext standard klein mittig Zchn"/>
    <w:basedOn w:val="TabellentextstandardkleinlinksbndigZchn"/>
    <w:link w:val="Tabellentextstandardkleinmittig"/>
    <w:rsid w:val="003D5734"/>
    <w:rPr>
      <w:rFonts w:ascii="Verdana" w:eastAsiaTheme="minorEastAsia" w:hAnsi="Verdana" w:cstheme="minorBidi"/>
      <w:sz w:val="18"/>
      <w:szCs w:val="18"/>
      <w:lang w:eastAsia="ja-JP"/>
    </w:rPr>
  </w:style>
  <w:style w:type="paragraph" w:customStyle="1" w:styleId="Tabellentextstandardmittig">
    <w:name w:val="Tabellentext standard mittig"/>
    <w:basedOn w:val="StandardeinfacherZeilenabstand"/>
    <w:link w:val="TabellentextstandardmittigZchn"/>
    <w:qFormat/>
    <w:rsid w:val="003D5734"/>
    <w:pPr>
      <w:jc w:val="center"/>
    </w:pPr>
  </w:style>
  <w:style w:type="character" w:customStyle="1" w:styleId="TabellentextstandardmittigZchn">
    <w:name w:val="Tabellentext standard mittig Zchn"/>
    <w:basedOn w:val="Absatz-Standardschriftart"/>
    <w:link w:val="Tabellentextstandardmittig"/>
    <w:rsid w:val="003D5734"/>
    <w:rPr>
      <w:rFonts w:ascii="Verdana" w:eastAsiaTheme="minorEastAsia" w:hAnsi="Verdana" w:cstheme="minorBidi"/>
      <w:lang w:eastAsia="ja-JP"/>
    </w:rPr>
  </w:style>
  <w:style w:type="paragraph" w:customStyle="1" w:styleId="TextmittignurfrLogo">
    <w:name w:val="Text mittig nur für Logo"/>
    <w:basedOn w:val="Standard"/>
    <w:link w:val="TextmittignurfrLogoZchn"/>
    <w:qFormat/>
    <w:rsid w:val="003D5734"/>
    <w:pPr>
      <w:spacing w:line="240" w:lineRule="auto"/>
      <w:jc w:val="center"/>
    </w:pPr>
  </w:style>
  <w:style w:type="character" w:customStyle="1" w:styleId="TextmittignurfrLogoZchn">
    <w:name w:val="Text mittig nur für Logo Zchn"/>
    <w:basedOn w:val="Absatz-Standardschriftart"/>
    <w:link w:val="TextmittignurfrLogo"/>
    <w:rsid w:val="003D5734"/>
    <w:rPr>
      <w:rFonts w:ascii="Verdana" w:eastAsiaTheme="minorEastAsia" w:hAnsi="Verdana" w:cstheme="minorBidi"/>
      <w:lang w:eastAsia="ja-JP"/>
    </w:rPr>
  </w:style>
  <w:style w:type="character" w:customStyle="1" w:styleId="Tiefgestellt">
    <w:name w:val="Tiefgestellt"/>
    <w:basedOn w:val="Absatz-Standardschriftart"/>
    <w:rsid w:val="003D5734"/>
    <w:rPr>
      <w:vertAlign w:val="subscript"/>
    </w:rPr>
  </w:style>
  <w:style w:type="character" w:customStyle="1" w:styleId="Tiefgestelltfett">
    <w:name w:val="Tiefgestellt fett"/>
    <w:basedOn w:val="Absatz-Standardschriftart"/>
    <w:rsid w:val="003D5734"/>
    <w:rPr>
      <w:b/>
      <w:bCs/>
      <w:vertAlign w:val="subscript"/>
    </w:rPr>
  </w:style>
  <w:style w:type="character" w:customStyle="1" w:styleId="Tiefgestelltfettkursiv">
    <w:name w:val="Tiefgestellt fett kursiv"/>
    <w:basedOn w:val="Absatz-Standardschriftart"/>
    <w:rsid w:val="003D5734"/>
    <w:rPr>
      <w:b/>
      <w:bCs/>
      <w:i/>
      <w:iCs/>
      <w:vertAlign w:val="subscript"/>
    </w:rPr>
  </w:style>
  <w:style w:type="paragraph" w:styleId="berarbeitung">
    <w:name w:val="Revision"/>
    <w:hidden/>
    <w:uiPriority w:val="99"/>
    <w:semiHidden/>
    <w:rsid w:val="008258C1"/>
    <w:rPr>
      <w:rFonts w:ascii="Arial" w:hAnsi="Arial" w:cs="Arial"/>
      <w:sz w:val="22"/>
      <w:szCs w:val="22"/>
    </w:rPr>
  </w:style>
  <w:style w:type="character" w:customStyle="1" w:styleId="Tiefgestelltkursiv">
    <w:name w:val="Tiefgestellt kursiv"/>
    <w:basedOn w:val="Absatz-Standardschriftart"/>
    <w:rsid w:val="003D5734"/>
    <w:rPr>
      <w:i/>
      <w:iCs/>
      <w:vertAlign w:val="subscript"/>
    </w:rPr>
  </w:style>
  <w:style w:type="paragraph" w:customStyle="1" w:styleId="b3">
    <w:name w:val="Üb 3"/>
    <w:basedOn w:val="Listenabsatz"/>
    <w:next w:val="Standard"/>
    <w:link w:val="b3Zchn"/>
    <w:qFormat/>
    <w:rsid w:val="003D5734"/>
    <w:pPr>
      <w:keepNext/>
      <w:numPr>
        <w:ilvl w:val="2"/>
        <w:numId w:val="48"/>
      </w:numPr>
      <w:spacing w:before="240" w:after="120"/>
      <w:contextualSpacing w:val="0"/>
      <w:outlineLvl w:val="2"/>
    </w:pPr>
    <w:rPr>
      <w:b/>
    </w:rPr>
  </w:style>
  <w:style w:type="character" w:customStyle="1" w:styleId="b3Zchn">
    <w:name w:val="Üb 3 Zchn"/>
    <w:basedOn w:val="Absatz-Standardschriftart"/>
    <w:link w:val="b3"/>
    <w:rsid w:val="003D5734"/>
    <w:rPr>
      <w:rFonts w:ascii="Verdana" w:eastAsiaTheme="minorEastAsia" w:hAnsi="Verdana" w:cstheme="minorBidi"/>
      <w:b/>
      <w:lang w:eastAsia="ja-JP"/>
    </w:rPr>
  </w:style>
  <w:style w:type="paragraph" w:customStyle="1" w:styleId="b4">
    <w:name w:val="Üb 4"/>
    <w:basedOn w:val="b3"/>
    <w:next w:val="Standard"/>
    <w:link w:val="b4Zchn"/>
    <w:qFormat/>
    <w:rsid w:val="003D5734"/>
    <w:pPr>
      <w:numPr>
        <w:ilvl w:val="3"/>
      </w:numPr>
      <w:outlineLvl w:val="3"/>
    </w:pPr>
  </w:style>
  <w:style w:type="character" w:customStyle="1" w:styleId="b4Zchn">
    <w:name w:val="Üb 4 Zchn"/>
    <w:basedOn w:val="b3Zchn"/>
    <w:link w:val="b4"/>
    <w:rsid w:val="003D5734"/>
    <w:rPr>
      <w:rFonts w:ascii="Verdana" w:eastAsiaTheme="minorEastAsia" w:hAnsi="Verdana" w:cstheme="minorBidi"/>
      <w:b/>
      <w:lang w:eastAsia="ja-JP"/>
    </w:rPr>
  </w:style>
  <w:style w:type="paragraph" w:customStyle="1" w:styleId="b5">
    <w:name w:val="Üb 5"/>
    <w:basedOn w:val="b4"/>
    <w:next w:val="Standard"/>
    <w:link w:val="b5Zchn"/>
    <w:qFormat/>
    <w:rsid w:val="003D5734"/>
    <w:pPr>
      <w:numPr>
        <w:ilvl w:val="4"/>
      </w:numPr>
      <w:outlineLvl w:val="4"/>
    </w:pPr>
  </w:style>
  <w:style w:type="character" w:customStyle="1" w:styleId="b5Zchn">
    <w:name w:val="Üb 5 Zchn"/>
    <w:basedOn w:val="b4Zchn"/>
    <w:link w:val="b5"/>
    <w:rsid w:val="003D5734"/>
    <w:rPr>
      <w:rFonts w:ascii="Verdana" w:eastAsiaTheme="minorEastAsia" w:hAnsi="Verdana" w:cstheme="minorBidi"/>
      <w:b/>
      <w:lang w:eastAsia="ja-JP"/>
    </w:rPr>
  </w:style>
  <w:style w:type="paragraph" w:customStyle="1" w:styleId="b6">
    <w:name w:val="Üb 6"/>
    <w:basedOn w:val="b5"/>
    <w:next w:val="Standard"/>
    <w:link w:val="b6Zchn"/>
    <w:qFormat/>
    <w:rsid w:val="003D5734"/>
    <w:pPr>
      <w:numPr>
        <w:ilvl w:val="5"/>
      </w:numPr>
      <w:outlineLvl w:val="5"/>
    </w:pPr>
  </w:style>
  <w:style w:type="character" w:customStyle="1" w:styleId="b6Zchn">
    <w:name w:val="Üb 6 Zchn"/>
    <w:basedOn w:val="b5Zchn"/>
    <w:link w:val="b6"/>
    <w:rsid w:val="003D5734"/>
    <w:rPr>
      <w:rFonts w:ascii="Verdana" w:eastAsiaTheme="minorEastAsia" w:hAnsi="Verdana" w:cstheme="minorBidi"/>
      <w:b/>
      <w:lang w:eastAsia="ja-JP"/>
    </w:rPr>
  </w:style>
  <w:style w:type="paragraph" w:styleId="Verzeichnis1">
    <w:name w:val="toc 1"/>
    <w:basedOn w:val="Standard"/>
    <w:next w:val="Standard"/>
    <w:autoRedefine/>
    <w:uiPriority w:val="39"/>
    <w:unhideWhenUsed/>
    <w:qFormat/>
    <w:rsid w:val="003D5734"/>
    <w:pPr>
      <w:tabs>
        <w:tab w:val="right" w:leader="dot" w:pos="9628"/>
      </w:tabs>
      <w:spacing w:after="100"/>
      <w:ind w:left="442" w:right="284" w:hanging="442"/>
    </w:pPr>
  </w:style>
  <w:style w:type="paragraph" w:styleId="Verzeichnis2">
    <w:name w:val="toc 2"/>
    <w:basedOn w:val="Standard"/>
    <w:next w:val="Standard"/>
    <w:autoRedefine/>
    <w:uiPriority w:val="39"/>
    <w:unhideWhenUsed/>
    <w:rsid w:val="003D5734"/>
    <w:pPr>
      <w:spacing w:after="100"/>
      <w:ind w:left="658" w:right="284" w:hanging="658"/>
    </w:pPr>
  </w:style>
  <w:style w:type="paragraph" w:styleId="Verzeichnis3">
    <w:name w:val="toc 3"/>
    <w:basedOn w:val="Standard"/>
    <w:next w:val="Standard"/>
    <w:autoRedefine/>
    <w:uiPriority w:val="39"/>
    <w:unhideWhenUsed/>
    <w:rsid w:val="003D5734"/>
    <w:pPr>
      <w:spacing w:after="100"/>
      <w:ind w:left="879" w:right="284" w:hanging="879"/>
    </w:pPr>
  </w:style>
  <w:style w:type="paragraph" w:styleId="Verzeichnis4">
    <w:name w:val="toc 4"/>
    <w:basedOn w:val="Standard"/>
    <w:next w:val="Standard"/>
    <w:autoRedefine/>
    <w:uiPriority w:val="39"/>
    <w:unhideWhenUsed/>
    <w:rsid w:val="003D5734"/>
    <w:pPr>
      <w:spacing w:after="100"/>
      <w:ind w:left="1134" w:right="284" w:hanging="1134"/>
    </w:pPr>
  </w:style>
  <w:style w:type="paragraph" w:styleId="Verzeichnis5">
    <w:name w:val="toc 5"/>
    <w:basedOn w:val="Standard"/>
    <w:next w:val="Standard"/>
    <w:autoRedefine/>
    <w:uiPriority w:val="39"/>
    <w:unhideWhenUsed/>
    <w:rsid w:val="003D5734"/>
    <w:pPr>
      <w:spacing w:after="100"/>
      <w:ind w:left="1321" w:right="284" w:hanging="1321"/>
    </w:pPr>
  </w:style>
  <w:style w:type="paragraph" w:styleId="Verzeichnis6">
    <w:name w:val="toc 6"/>
    <w:basedOn w:val="Standard"/>
    <w:next w:val="Standard"/>
    <w:autoRedefine/>
    <w:uiPriority w:val="39"/>
    <w:unhideWhenUsed/>
    <w:rsid w:val="003D5734"/>
    <w:pPr>
      <w:spacing w:after="100"/>
      <w:ind w:left="1542" w:right="284" w:hanging="1542"/>
    </w:pPr>
  </w:style>
  <w:style w:type="paragraph" w:styleId="Verzeichnis7">
    <w:name w:val="toc 7"/>
    <w:basedOn w:val="Standard"/>
    <w:next w:val="Standard"/>
    <w:autoRedefine/>
    <w:uiPriority w:val="39"/>
    <w:unhideWhenUsed/>
    <w:rsid w:val="003D5734"/>
    <w:pPr>
      <w:spacing w:after="100"/>
      <w:ind w:left="1321" w:right="284" w:hanging="1321"/>
    </w:pPr>
  </w:style>
  <w:style w:type="paragraph" w:customStyle="1" w:styleId="VGVergabegrundlage">
    <w:name w:val="VG Vergabegrundlage"/>
    <w:basedOn w:val="Standard"/>
    <w:link w:val="VGVergabegrundlageZchn"/>
    <w:qFormat/>
    <w:rsid w:val="003D5734"/>
    <w:pPr>
      <w:spacing w:line="240" w:lineRule="auto"/>
      <w:jc w:val="center"/>
    </w:pPr>
    <w:rPr>
      <w:b/>
      <w:bCs/>
      <w:color w:val="1A5BA5"/>
      <w:sz w:val="28"/>
      <w:szCs w:val="24"/>
    </w:rPr>
  </w:style>
  <w:style w:type="character" w:customStyle="1" w:styleId="VGVergabegrundlageZchn">
    <w:name w:val="VG Vergabegrundlage Zchn"/>
    <w:basedOn w:val="Absatz-Standardschriftart"/>
    <w:link w:val="VGVergabegrundlage"/>
    <w:rsid w:val="003D5734"/>
    <w:rPr>
      <w:rFonts w:ascii="Verdana" w:eastAsiaTheme="minorEastAsia" w:hAnsi="Verdana" w:cstheme="minorBidi"/>
      <w:b/>
      <w:bCs/>
      <w:color w:val="1A5BA5"/>
      <w:sz w:val="28"/>
      <w:szCs w:val="24"/>
      <w:lang w:eastAsia="ja-JP"/>
    </w:rPr>
  </w:style>
  <w:style w:type="paragraph" w:customStyle="1" w:styleId="VGAusgabe">
    <w:name w:val="VG Ausgabe"/>
    <w:basedOn w:val="VGVergabegrundlage"/>
    <w:link w:val="VGAusgabeZchn"/>
    <w:qFormat/>
    <w:rsid w:val="003D5734"/>
    <w:rPr>
      <w:sz w:val="24"/>
    </w:rPr>
  </w:style>
  <w:style w:type="character" w:customStyle="1" w:styleId="VGAusgabeZchn">
    <w:name w:val="VG Ausgabe Zchn"/>
    <w:basedOn w:val="VGVergabegrundlageZchn"/>
    <w:link w:val="VGAusgabe"/>
    <w:rsid w:val="003D5734"/>
    <w:rPr>
      <w:rFonts w:ascii="Verdana" w:eastAsiaTheme="minorEastAsia" w:hAnsi="Verdana" w:cstheme="minorBidi"/>
      <w:b/>
      <w:bCs/>
      <w:color w:val="1A5BA5"/>
      <w:sz w:val="24"/>
      <w:szCs w:val="24"/>
      <w:lang w:eastAsia="ja-JP"/>
    </w:rPr>
  </w:style>
  <w:style w:type="paragraph" w:customStyle="1" w:styleId="VGNummer">
    <w:name w:val="VG Nummer"/>
    <w:basedOn w:val="Standard"/>
    <w:link w:val="VGNummerZchn"/>
    <w:qFormat/>
    <w:rsid w:val="003D5734"/>
    <w:pPr>
      <w:spacing w:line="240" w:lineRule="auto"/>
      <w:jc w:val="center"/>
    </w:pPr>
    <w:rPr>
      <w:b/>
      <w:color w:val="1A5BA5"/>
      <w:sz w:val="32"/>
      <w:szCs w:val="28"/>
    </w:rPr>
  </w:style>
  <w:style w:type="character" w:customStyle="1" w:styleId="VGNummerZchn">
    <w:name w:val="VG Nummer Zchn"/>
    <w:basedOn w:val="Absatz-Standardschriftart"/>
    <w:link w:val="VGNummer"/>
    <w:rsid w:val="003D5734"/>
    <w:rPr>
      <w:rFonts w:ascii="Verdana" w:eastAsiaTheme="minorEastAsia" w:hAnsi="Verdana" w:cstheme="minorBidi"/>
      <w:b/>
      <w:color w:val="1A5BA5"/>
      <w:sz w:val="32"/>
      <w:szCs w:val="28"/>
      <w:lang w:eastAsia="ja-JP"/>
    </w:rPr>
  </w:style>
  <w:style w:type="paragraph" w:customStyle="1" w:styleId="VGBLAUERENGEL">
    <w:name w:val="VG BLAUER ENGEL"/>
    <w:basedOn w:val="VGNummer"/>
    <w:link w:val="VGBLAUERENGELZchn"/>
    <w:qFormat/>
    <w:rsid w:val="003D5734"/>
    <w:rPr>
      <w:sz w:val="44"/>
      <w:szCs w:val="44"/>
    </w:rPr>
  </w:style>
  <w:style w:type="character" w:customStyle="1" w:styleId="VGBLAUERENGELZchn">
    <w:name w:val="VG BLAUER ENGEL Zchn"/>
    <w:basedOn w:val="VGNummerZchn"/>
    <w:link w:val="VGBLAUERENGEL"/>
    <w:rsid w:val="003D5734"/>
    <w:rPr>
      <w:rFonts w:ascii="Verdana" w:eastAsiaTheme="minorEastAsia" w:hAnsi="Verdana" w:cstheme="minorBidi"/>
      <w:b/>
      <w:color w:val="1A5BA5"/>
      <w:sz w:val="44"/>
      <w:szCs w:val="44"/>
      <w:lang w:eastAsia="ja-JP"/>
    </w:rPr>
  </w:style>
  <w:style w:type="paragraph" w:customStyle="1" w:styleId="VGTitel">
    <w:name w:val="VG Titel"/>
    <w:basedOn w:val="VGNummer"/>
    <w:link w:val="VGTitelZchn"/>
    <w:qFormat/>
    <w:rsid w:val="003D5734"/>
    <w:rPr>
      <w:sz w:val="36"/>
      <w:szCs w:val="36"/>
    </w:rPr>
  </w:style>
  <w:style w:type="character" w:customStyle="1" w:styleId="VGTitelZchn">
    <w:name w:val="VG Titel Zchn"/>
    <w:basedOn w:val="VGNummerZchn"/>
    <w:link w:val="VGTitel"/>
    <w:rsid w:val="003D5734"/>
    <w:rPr>
      <w:rFonts w:ascii="Verdana" w:eastAsiaTheme="minorEastAsia" w:hAnsi="Verdana" w:cstheme="minorBidi"/>
      <w:b/>
      <w:color w:val="1A5BA5"/>
      <w:sz w:val="36"/>
      <w:szCs w:val="36"/>
      <w:lang w:eastAsia="ja-JP"/>
    </w:rPr>
  </w:style>
  <w:style w:type="paragraph" w:customStyle="1" w:styleId="VGVersion">
    <w:name w:val="VG Version"/>
    <w:basedOn w:val="Standard"/>
    <w:link w:val="VGVersionZchn"/>
    <w:qFormat/>
    <w:rsid w:val="003D5734"/>
    <w:pPr>
      <w:spacing w:line="240" w:lineRule="auto"/>
      <w:jc w:val="center"/>
    </w:pPr>
    <w:rPr>
      <w:b/>
      <w:bCs/>
      <w:color w:val="1A5BA5"/>
    </w:rPr>
  </w:style>
  <w:style w:type="character" w:customStyle="1" w:styleId="VGVersionZchn">
    <w:name w:val="VG Version Zchn"/>
    <w:basedOn w:val="Absatz-Standardschriftart"/>
    <w:link w:val="VGVersion"/>
    <w:rsid w:val="003D5734"/>
    <w:rPr>
      <w:rFonts w:ascii="Verdana" w:eastAsiaTheme="minorEastAsia" w:hAnsi="Verdana" w:cstheme="minorBidi"/>
      <w:b/>
      <w:bCs/>
      <w:color w:val="1A5BA5"/>
      <w:lang w:eastAsia="ja-JP"/>
    </w:rPr>
  </w:style>
  <w:style w:type="character" w:customStyle="1" w:styleId="berschrift4Zchn">
    <w:name w:val="Überschrift 4 Zchn"/>
    <w:aliases w:val="Tempo Heading 4 Zchn"/>
    <w:basedOn w:val="Absatz-Standardschriftart"/>
    <w:link w:val="berschrift4"/>
    <w:rsid w:val="00FA7017"/>
    <w:rPr>
      <w:rFonts w:ascii="Arial" w:eastAsiaTheme="majorEastAsia" w:hAnsi="Arial" w:cstheme="minorHAnsi"/>
      <w:b/>
      <w:bCs/>
      <w:iCs/>
      <w:sz w:val="22"/>
      <w:szCs w:val="24"/>
      <w:lang w:eastAsia="en-US"/>
    </w:rPr>
  </w:style>
  <w:style w:type="character" w:styleId="Kommentarzeichen">
    <w:name w:val="annotation reference"/>
    <w:basedOn w:val="Absatz-Standardschriftart"/>
    <w:uiPriority w:val="99"/>
    <w:semiHidden/>
    <w:unhideWhenUsed/>
    <w:rsid w:val="00F336E2"/>
    <w:rPr>
      <w:sz w:val="16"/>
      <w:szCs w:val="16"/>
    </w:rPr>
  </w:style>
  <w:style w:type="paragraph" w:styleId="Kommentartext">
    <w:name w:val="annotation text"/>
    <w:basedOn w:val="Standard"/>
    <w:link w:val="KommentartextZchn"/>
    <w:uiPriority w:val="99"/>
    <w:semiHidden/>
    <w:unhideWhenUsed/>
    <w:rsid w:val="00F336E2"/>
    <w:pPr>
      <w:spacing w:line="240" w:lineRule="auto"/>
    </w:pPr>
  </w:style>
  <w:style w:type="character" w:customStyle="1" w:styleId="KommentartextZchn">
    <w:name w:val="Kommentartext Zchn"/>
    <w:basedOn w:val="Absatz-Standardschriftart"/>
    <w:link w:val="Kommentartext"/>
    <w:uiPriority w:val="99"/>
    <w:semiHidden/>
    <w:rsid w:val="00F336E2"/>
    <w:rPr>
      <w:rFonts w:ascii="Verdana" w:eastAsiaTheme="minorEastAsia" w:hAnsi="Verdana" w:cstheme="minorBidi"/>
      <w:lang w:eastAsia="ja-JP"/>
    </w:rPr>
  </w:style>
  <w:style w:type="paragraph" w:styleId="Kommentarthema">
    <w:name w:val="annotation subject"/>
    <w:basedOn w:val="Kommentartext"/>
    <w:next w:val="Kommentartext"/>
    <w:link w:val="KommentarthemaZchn"/>
    <w:semiHidden/>
    <w:unhideWhenUsed/>
    <w:rsid w:val="00F336E2"/>
    <w:rPr>
      <w:b/>
      <w:bCs/>
    </w:rPr>
  </w:style>
  <w:style w:type="character" w:customStyle="1" w:styleId="KommentarthemaZchn">
    <w:name w:val="Kommentarthema Zchn"/>
    <w:basedOn w:val="KommentartextZchn"/>
    <w:link w:val="Kommentarthema"/>
    <w:semiHidden/>
    <w:rsid w:val="00F336E2"/>
    <w:rPr>
      <w:rFonts w:ascii="Verdana" w:eastAsiaTheme="minorEastAsia" w:hAnsi="Verdana" w:cstheme="minorBidi"/>
      <w:b/>
      <w:bCs/>
      <w:lang w:eastAsia="ja-JP"/>
    </w:rPr>
  </w:style>
  <w:style w:type="paragraph" w:styleId="Sprechblasentext">
    <w:name w:val="Balloon Text"/>
    <w:basedOn w:val="Standard"/>
    <w:link w:val="SprechblasentextZchn"/>
    <w:semiHidden/>
    <w:unhideWhenUsed/>
    <w:rsid w:val="00F336E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F336E2"/>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137038676">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391512505">
      <w:bodyDiv w:val="1"/>
      <w:marLeft w:val="0"/>
      <w:marRight w:val="0"/>
      <w:marTop w:val="0"/>
      <w:marBottom w:val="0"/>
      <w:divBdr>
        <w:top w:val="none" w:sz="0" w:space="0" w:color="auto"/>
        <w:left w:val="none" w:sz="0" w:space="0" w:color="auto"/>
        <w:bottom w:val="none" w:sz="0" w:space="0" w:color="auto"/>
        <w:right w:val="none" w:sz="0" w:space="0" w:color="auto"/>
      </w:divBdr>
    </w:div>
    <w:div w:id="490681911">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192112029">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504323711">
      <w:bodyDiv w:val="1"/>
      <w:marLeft w:val="0"/>
      <w:marRight w:val="0"/>
      <w:marTop w:val="0"/>
      <w:marBottom w:val="0"/>
      <w:divBdr>
        <w:top w:val="none" w:sz="0" w:space="0" w:color="auto"/>
        <w:left w:val="none" w:sz="0" w:space="0" w:color="auto"/>
        <w:bottom w:val="none" w:sz="0" w:space="0" w:color="auto"/>
        <w:right w:val="none" w:sz="0" w:space="0" w:color="auto"/>
      </w:divBdr>
    </w:div>
    <w:div w:id="1650985335">
      <w:bodyDiv w:val="1"/>
      <w:marLeft w:val="0"/>
      <w:marRight w:val="0"/>
      <w:marTop w:val="0"/>
      <w:marBottom w:val="0"/>
      <w:divBdr>
        <w:top w:val="none" w:sz="0" w:space="0" w:color="auto"/>
        <w:left w:val="none" w:sz="0" w:space="0" w:color="auto"/>
        <w:bottom w:val="none" w:sz="0" w:space="0" w:color="auto"/>
        <w:right w:val="none" w:sz="0" w:space="0" w:color="auto"/>
      </w:divBdr>
    </w:div>
    <w:div w:id="1673486360">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eader" Target="header3.xml"/><Relationship Id="rId28" Type="http://schemas.openxmlformats.org/officeDocument/2006/relationships/hyperlink" Target="about:blank" TargetMode="External"/><Relationship Id="rId10" Type="http://schemas.openxmlformats.org/officeDocument/2006/relationships/customXml" Target="../customXml/item10.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hyperlink" Target="about:blank" TargetMode="Externa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7F0309B6C143D34596B94519DA7E9125" ma:contentTypeVersion="13" ma:contentTypeDescription="Ein neues Dokument erstellen." ma:contentTypeScope="" ma:versionID="45484564f408e081d75944020a7a32d1">
  <xsd:schema xmlns:xsd="http://www.w3.org/2001/XMLSchema" xmlns:xs="http://www.w3.org/2001/XMLSchema" xmlns:p="http://schemas.microsoft.com/office/2006/metadata/properties" xmlns:ns2="02465d18-56d5-4de3-bfdb-1defbbb9d1c3" xmlns:ns3="30e314e4-ffb7-42d7-a231-c0c01b7eedeb" targetNamespace="http://schemas.microsoft.com/office/2006/metadata/properties" ma:root="true" ma:fieldsID="0879ad8ebb7845de573c9ed4aa04bff8" ns2:_="" ns3:_="">
    <xsd:import namespace="02465d18-56d5-4de3-bfdb-1defbbb9d1c3"/>
    <xsd:import namespace="30e314e4-ffb7-42d7-a231-c0c01b7ee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65d18-56d5-4de3-bfdb-1defbbb9d1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071a6f3f-b5d9-4d56-9617-5b21a8516c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e314e4-ffb7-42d7-a231-c0c01b7eedeb"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923b2d03-2b10-4054-b00b-d98015a54240}" ma:internalName="TaxCatchAll" ma:showField="CatchAllData" ma:web="30e314e4-ffb7-42d7-a231-c0c01b7ee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30e314e4-ffb7-42d7-a231-c0c01b7eedeb">
      <UserInfo>
        <DisplayName>Fridtjof Chwoyka</DisplayName>
        <AccountId>9</AccountId>
        <AccountType/>
      </UserInfo>
    </SharedWithUsers>
    <TaxCatchAll xmlns="30e314e4-ffb7-42d7-a231-c0c01b7eedeb" xsi:nil="true"/>
    <lcf76f155ced4ddcb4097134ff3c332f xmlns="02465d18-56d5-4de3-bfdb-1defbbb9d1c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LongProperties xmlns="http://schemas.microsoft.com/office/2006/metadata/longProperties"/>
</file>

<file path=customXml/itemProps1.xml><?xml version="1.0" encoding="utf-8"?>
<ds:datastoreItem xmlns:ds="http://schemas.openxmlformats.org/officeDocument/2006/customXml" ds:itemID="{5F0B1ED7-2882-4F1A-9BAB-69870A30E644}">
  <ds:schemaRefs>
    <ds:schemaRef ds:uri="http://schemas.openxmlformats.org/officeDocument/2006/bibliography"/>
  </ds:schemaRefs>
</ds:datastoreItem>
</file>

<file path=customXml/itemProps10.xml><?xml version="1.0" encoding="utf-8"?>
<ds:datastoreItem xmlns:ds="http://schemas.openxmlformats.org/officeDocument/2006/customXml" ds:itemID="{F1DFDB5A-FE1F-4819-A771-0C9B3B8EF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65d18-56d5-4de3-bfdb-1defbbb9d1c3"/>
    <ds:schemaRef ds:uri="30e314e4-ffb7-42d7-a231-c0c01b7ee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D6A78CB0-47CE-412A-90F3-A4D210550544}">
  <ds:schemaRefs>
    <ds:schemaRef ds:uri="http://schemas.openxmlformats.org/officeDocument/2006/bibliography"/>
  </ds:schemaRefs>
</ds:datastoreItem>
</file>

<file path=customXml/itemProps12.xml><?xml version="1.0" encoding="utf-8"?>
<ds:datastoreItem xmlns:ds="http://schemas.openxmlformats.org/officeDocument/2006/customXml" ds:itemID="{74A32CD5-7C2A-4BA9-A9B7-EB40CEA2459B}">
  <ds:schemaRefs>
    <ds:schemaRef ds:uri="http://schemas.openxmlformats.org/officeDocument/2006/bibliography"/>
  </ds:schemaRefs>
</ds:datastoreItem>
</file>

<file path=customXml/itemProps2.xml><?xml version="1.0" encoding="utf-8"?>
<ds:datastoreItem xmlns:ds="http://schemas.openxmlformats.org/officeDocument/2006/customXml" ds:itemID="{B45EE2F9-EC43-4663-9DA6-5F740F6F61F0}">
  <ds:schemaRefs>
    <ds:schemaRef ds:uri="http://schemas.openxmlformats.org/officeDocument/2006/bibliography"/>
  </ds:schemaRefs>
</ds:datastoreItem>
</file>

<file path=customXml/itemProps3.xml><?xml version="1.0" encoding="utf-8"?>
<ds:datastoreItem xmlns:ds="http://schemas.openxmlformats.org/officeDocument/2006/customXml" ds:itemID="{BBA22749-BE58-45F8-9856-9683F67426E5}">
  <ds:schemaRefs>
    <ds:schemaRef ds:uri="http://schemas.microsoft.com/office/2006/metadata/properties"/>
    <ds:schemaRef ds:uri="http://schemas.microsoft.com/office/infopath/2007/PartnerControls"/>
    <ds:schemaRef ds:uri="30e314e4-ffb7-42d7-a231-c0c01b7eedeb"/>
    <ds:schemaRef ds:uri="02465d18-56d5-4de3-bfdb-1defbbb9d1c3"/>
  </ds:schemaRefs>
</ds:datastoreItem>
</file>

<file path=customXml/itemProps4.xml><?xml version="1.0" encoding="utf-8"?>
<ds:datastoreItem xmlns:ds="http://schemas.openxmlformats.org/officeDocument/2006/customXml" ds:itemID="{93876151-D44C-4B58-B571-2AC05135BEE8}">
  <ds:schemaRefs>
    <ds:schemaRef ds:uri="http://schemas.openxmlformats.org/officeDocument/2006/bibliography"/>
  </ds:schemaRefs>
</ds:datastoreItem>
</file>

<file path=customXml/itemProps5.xml><?xml version="1.0" encoding="utf-8"?>
<ds:datastoreItem xmlns:ds="http://schemas.openxmlformats.org/officeDocument/2006/customXml" ds:itemID="{2BAD28AA-389D-4DCB-8264-6BA406730284}">
  <ds:schemaRefs>
    <ds:schemaRef ds:uri="http://schemas.openxmlformats.org/officeDocument/2006/bibliography"/>
  </ds:schemaRefs>
</ds:datastoreItem>
</file>

<file path=customXml/itemProps6.xml><?xml version="1.0" encoding="utf-8"?>
<ds:datastoreItem xmlns:ds="http://schemas.openxmlformats.org/officeDocument/2006/customXml" ds:itemID="{50BD106E-DCFA-4E06-8F72-7610D4387FD9}">
  <ds:schemaRefs>
    <ds:schemaRef ds:uri="http://schemas.microsoft.com/sharepoint/v3/contenttype/forms"/>
  </ds:schemaRefs>
</ds:datastoreItem>
</file>

<file path=customXml/itemProps7.xml><?xml version="1.0" encoding="utf-8"?>
<ds:datastoreItem xmlns:ds="http://schemas.openxmlformats.org/officeDocument/2006/customXml" ds:itemID="{64FBADB8-14A3-4CBB-8764-D5AF85D08CDF}">
  <ds:schemaRefs>
    <ds:schemaRef ds:uri="http://schemas.openxmlformats.org/officeDocument/2006/bibliography"/>
  </ds:schemaRefs>
</ds:datastoreItem>
</file>

<file path=customXml/itemProps8.xml><?xml version="1.0" encoding="utf-8"?>
<ds:datastoreItem xmlns:ds="http://schemas.openxmlformats.org/officeDocument/2006/customXml" ds:itemID="{4C899094-154F-47E1-AB28-301AC340F25E}">
  <ds:schemaRefs>
    <ds:schemaRef ds:uri="http://schemas.openxmlformats.org/officeDocument/2006/bibliography"/>
  </ds:schemaRefs>
</ds:datastoreItem>
</file>

<file path=customXml/itemProps9.xml><?xml version="1.0" encoding="utf-8"?>
<ds:datastoreItem xmlns:ds="http://schemas.openxmlformats.org/officeDocument/2006/customXml" ds:itemID="{F5654589-63A0-4DA1-BE15-9E3B6C539B5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Anlage 2_20110708_mr.dot</Template>
  <TotalTime>0</TotalTime>
  <Pages>21</Pages>
  <Words>6253</Words>
  <Characters>36125</Characters>
  <Application>Microsoft Office Word</Application>
  <DocSecurity>0</DocSecurity>
  <Lines>301</Lines>
  <Paragraphs>84</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subject/>
  <dc:creator>J.Groeger@oeko.de</dc:creator>
  <cp:keywords/>
  <dc:description/>
  <cp:lastModifiedBy>Bartoszewicz, Maik</cp:lastModifiedBy>
  <cp:revision>43</cp:revision>
  <cp:lastPrinted>2022-10-13T13:58:00Z</cp:lastPrinted>
  <dcterms:created xsi:type="dcterms:W3CDTF">2023-01-16T13:02:00Z</dcterms:created>
  <dcterms:modified xsi:type="dcterms:W3CDTF">2023-03-20T13:40:00Z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y fmtid="{D5CDD505-2E9C-101B-9397-08002B2CF9AE}" pid="4" name="ContentTypeId">
    <vt:lpwstr>0x0101007F0309B6C143D34596B94519DA7E9125</vt:lpwstr>
  </property>
  <property fmtid="{D5CDD505-2E9C-101B-9397-08002B2CF9AE}" pid="5" name="MediaServiceImageTags">
    <vt:lpwstr/>
  </property>
</Properties>
</file>